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567" w:type="dxa"/>
        <w:tblLayout w:type="fixed"/>
        <w:tblLook w:val="04A0" w:firstRow="1" w:lastRow="0" w:firstColumn="1" w:lastColumn="0" w:noHBand="0" w:noVBand="1"/>
      </w:tblPr>
      <w:tblGrid>
        <w:gridCol w:w="606"/>
        <w:gridCol w:w="9459"/>
      </w:tblGrid>
      <w:tr w:rsidR="009674EB" w:rsidRPr="00AA15E2" w:rsidTr="00E96635">
        <w:tc>
          <w:tcPr>
            <w:tcW w:w="10065" w:type="dxa"/>
            <w:gridSpan w:val="2"/>
          </w:tcPr>
          <w:p w:rsidR="009674EB" w:rsidRPr="00AA15E2" w:rsidRDefault="009674EB" w:rsidP="007153B0">
            <w:pPr>
              <w:spacing w:after="0" w:line="240" w:lineRule="auto"/>
              <w:contextualSpacing/>
              <w:rPr>
                <w:rFonts w:ascii="Britannic Bold" w:eastAsia="Times New Roman" w:hAnsi="Britannic Bold" w:cs="Arial"/>
                <w:bCs/>
                <w:color w:val="000000"/>
                <w:sz w:val="24"/>
                <w:szCs w:val="24"/>
              </w:rPr>
            </w:pPr>
          </w:p>
          <w:p w:rsidR="009674EB" w:rsidRDefault="009674EB" w:rsidP="009674EB">
            <w:pPr>
              <w:spacing w:after="0" w:line="240" w:lineRule="auto"/>
              <w:contextualSpacing/>
              <w:jc w:val="both"/>
              <w:rPr>
                <w:rFonts w:ascii="Britannic Bold" w:eastAsia="Times New Roman" w:hAnsi="Britannic Bold" w:cs="Arial"/>
                <w:bCs/>
                <w:color w:val="000000"/>
                <w:sz w:val="24"/>
                <w:szCs w:val="24"/>
              </w:rPr>
            </w:pPr>
            <w:r>
              <w:rPr>
                <w:rFonts w:ascii="Britannic Bold" w:eastAsia="Times New Roman" w:hAnsi="Britannic Bold" w:cs="Arial"/>
                <w:bCs/>
                <w:color w:val="000000"/>
                <w:sz w:val="24"/>
                <w:szCs w:val="24"/>
              </w:rPr>
              <w:t>2021/2022</w:t>
            </w:r>
            <w:r w:rsidRPr="00AA15E2">
              <w:rPr>
                <w:rFonts w:ascii="Britannic Bold" w:eastAsia="Times New Roman" w:hAnsi="Britannic Bold" w:cs="Arial"/>
                <w:bCs/>
                <w:color w:val="000000"/>
                <w:sz w:val="24"/>
                <w:szCs w:val="24"/>
              </w:rPr>
              <w:t xml:space="preserve"> </w:t>
            </w:r>
            <w:r w:rsidR="002C091D">
              <w:rPr>
                <w:rFonts w:ascii="Britannic Bold" w:eastAsia="Times New Roman" w:hAnsi="Britannic Bold" w:cs="Arial"/>
                <w:bCs/>
                <w:color w:val="000000"/>
                <w:sz w:val="24"/>
                <w:szCs w:val="24"/>
              </w:rPr>
              <w:t>THIRD</w:t>
            </w:r>
            <w:r w:rsidR="00AE511D">
              <w:rPr>
                <w:rFonts w:ascii="Britannic Bold" w:eastAsia="Times New Roman" w:hAnsi="Britannic Bold" w:cs="Arial"/>
                <w:bCs/>
                <w:color w:val="000000"/>
                <w:sz w:val="24"/>
                <w:szCs w:val="24"/>
              </w:rPr>
              <w:t xml:space="preserve"> QUARTER SUPPLY CHAIN MANAGEMENT POLICY IMPLEMENTATION </w:t>
            </w:r>
          </w:p>
          <w:p w:rsidR="009674EB" w:rsidRPr="00AA15E2" w:rsidRDefault="009674EB" w:rsidP="009674EB">
            <w:pPr>
              <w:spacing w:after="0" w:line="240" w:lineRule="auto"/>
              <w:contextualSpacing/>
              <w:jc w:val="both"/>
              <w:rPr>
                <w:rFonts w:ascii="Britannic Bold" w:eastAsia="Times New Roman" w:hAnsi="Britannic Bold" w:cs="Arial"/>
                <w:bCs/>
                <w:color w:val="000000"/>
                <w:sz w:val="24"/>
                <w:szCs w:val="24"/>
              </w:rPr>
            </w:pPr>
          </w:p>
        </w:tc>
      </w:tr>
      <w:tr w:rsidR="009674EB" w:rsidRPr="00A9724F" w:rsidTr="00E96635">
        <w:tc>
          <w:tcPr>
            <w:tcW w:w="10065" w:type="dxa"/>
            <w:gridSpan w:val="2"/>
          </w:tcPr>
          <w:p w:rsidR="009674EB" w:rsidRDefault="009674EB" w:rsidP="007153B0">
            <w:pPr>
              <w:spacing w:after="0" w:line="240" w:lineRule="auto"/>
              <w:contextualSpacing/>
              <w:rPr>
                <w:rFonts w:ascii="Britannic Bold" w:eastAsia="Times New Roman" w:hAnsi="Britannic Bold" w:cs="Arial"/>
                <w:color w:val="000000"/>
                <w:sz w:val="24"/>
                <w:szCs w:val="24"/>
              </w:rPr>
            </w:pPr>
            <w:r w:rsidRPr="00AA15E2">
              <w:rPr>
                <w:rFonts w:ascii="Britannic Bold" w:eastAsia="Times New Roman" w:hAnsi="Britannic Bold" w:cs="Arial"/>
                <w:color w:val="000000"/>
                <w:sz w:val="24"/>
                <w:szCs w:val="24"/>
              </w:rPr>
              <w:t xml:space="preserve">REPORT OF THE </w:t>
            </w:r>
            <w:r>
              <w:rPr>
                <w:rFonts w:ascii="Britannic Bold" w:eastAsia="Times New Roman" w:hAnsi="Britannic Bold" w:cs="Arial"/>
                <w:color w:val="000000"/>
                <w:sz w:val="24"/>
                <w:szCs w:val="24"/>
              </w:rPr>
              <w:t>MUNICIPAL MANAGER</w:t>
            </w:r>
            <w:r w:rsidRPr="00AA15E2">
              <w:rPr>
                <w:rFonts w:ascii="Britannic Bold" w:eastAsia="Times New Roman" w:hAnsi="Britannic Bold" w:cs="Arial"/>
                <w:color w:val="000000"/>
                <w:sz w:val="24"/>
                <w:szCs w:val="24"/>
              </w:rPr>
              <w:t>:</w:t>
            </w:r>
          </w:p>
          <w:p w:rsidR="009674EB" w:rsidRPr="00A9724F" w:rsidRDefault="009674EB" w:rsidP="007153B0">
            <w:pPr>
              <w:spacing w:after="0" w:line="240" w:lineRule="auto"/>
              <w:contextualSpacing/>
              <w:rPr>
                <w:rFonts w:ascii="Britannic Bold" w:eastAsia="Times New Roman" w:hAnsi="Britannic Bold" w:cs="Arial"/>
                <w:color w:val="000000"/>
                <w:sz w:val="24"/>
                <w:szCs w:val="24"/>
              </w:rPr>
            </w:pPr>
          </w:p>
        </w:tc>
      </w:tr>
      <w:tr w:rsidR="009674EB" w:rsidRPr="00AA15E2" w:rsidTr="00E96635">
        <w:tc>
          <w:tcPr>
            <w:tcW w:w="606" w:type="dxa"/>
          </w:tcPr>
          <w:p w:rsidR="009674EB" w:rsidRPr="00AA15E2" w:rsidRDefault="009674EB" w:rsidP="007153B0">
            <w:pPr>
              <w:spacing w:after="0" w:line="240" w:lineRule="auto"/>
              <w:contextualSpacing/>
              <w:rPr>
                <w:rFonts w:ascii="Arial" w:hAnsi="Arial" w:cs="Arial"/>
              </w:rPr>
            </w:pPr>
            <w:r w:rsidRPr="00AA15E2">
              <w:rPr>
                <w:rFonts w:ascii="Arial" w:hAnsi="Arial" w:cs="Arial"/>
              </w:rPr>
              <w:t>1</w:t>
            </w:r>
          </w:p>
        </w:tc>
        <w:tc>
          <w:tcPr>
            <w:tcW w:w="9459" w:type="dxa"/>
          </w:tcPr>
          <w:p w:rsidR="009674EB" w:rsidRPr="00AA15E2" w:rsidRDefault="009674EB" w:rsidP="007153B0">
            <w:pPr>
              <w:spacing w:after="0" w:line="240" w:lineRule="auto"/>
            </w:pPr>
            <w:r w:rsidRPr="00AA15E2">
              <w:rPr>
                <w:rFonts w:ascii="Britannic Bold" w:eastAsia="Times New Roman" w:hAnsi="Britannic Bold" w:cs="Arial"/>
                <w:color w:val="000000"/>
              </w:rPr>
              <w:t>STRATEGIC GOAL</w:t>
            </w:r>
          </w:p>
          <w:p w:rsidR="009674EB" w:rsidRPr="00AA15E2" w:rsidRDefault="009674EB" w:rsidP="007153B0">
            <w:pPr>
              <w:spacing w:after="0" w:line="240" w:lineRule="auto"/>
              <w:contextualSpacing/>
              <w:rPr>
                <w:rFonts w:ascii="Britannic Bold" w:hAnsi="Britannic Bold" w:cs="Arial"/>
              </w:rPr>
            </w:pPr>
          </w:p>
        </w:tc>
      </w:tr>
      <w:tr w:rsidR="00AE511D" w:rsidRPr="00AA15E2" w:rsidTr="00E96635">
        <w:tc>
          <w:tcPr>
            <w:tcW w:w="606" w:type="dxa"/>
          </w:tcPr>
          <w:p w:rsidR="00AE511D" w:rsidRPr="00AA15E2" w:rsidRDefault="00AE511D" w:rsidP="00AE511D">
            <w:pPr>
              <w:spacing w:after="0" w:line="240" w:lineRule="auto"/>
              <w:contextualSpacing/>
              <w:jc w:val="center"/>
              <w:rPr>
                <w:rFonts w:ascii="Arial" w:hAnsi="Arial" w:cs="Arial"/>
              </w:rPr>
            </w:pPr>
          </w:p>
        </w:tc>
        <w:tc>
          <w:tcPr>
            <w:tcW w:w="9459" w:type="dxa"/>
          </w:tcPr>
          <w:p w:rsidR="00AE511D" w:rsidRPr="00EB796C" w:rsidRDefault="00AE511D" w:rsidP="00AE511D">
            <w:pPr>
              <w:rPr>
                <w:rFonts w:ascii="Arial" w:eastAsia="Arial Unicode MS" w:hAnsi="Arial" w:cs="Arial"/>
                <w:sz w:val="20"/>
                <w:szCs w:val="20"/>
              </w:rPr>
            </w:pPr>
            <w:r w:rsidRPr="00EB796C">
              <w:rPr>
                <w:rFonts w:ascii="Arial" w:eastAsia="Arial Unicode MS" w:hAnsi="Arial" w:cs="Arial"/>
                <w:sz w:val="20"/>
                <w:szCs w:val="20"/>
              </w:rPr>
              <w:t>In terms of the Supply Chain Management Policy the following reports must be submitted in the process of implementing the Policy</w:t>
            </w:r>
          </w:p>
        </w:tc>
      </w:tr>
      <w:tr w:rsidR="00AE511D" w:rsidRPr="00AA15E2" w:rsidTr="00E96635">
        <w:tc>
          <w:tcPr>
            <w:tcW w:w="606" w:type="dxa"/>
          </w:tcPr>
          <w:p w:rsidR="00AE511D" w:rsidRPr="00AA15E2" w:rsidRDefault="00AE511D" w:rsidP="00AE511D">
            <w:pPr>
              <w:spacing w:after="0" w:line="240" w:lineRule="auto"/>
              <w:contextualSpacing/>
              <w:rPr>
                <w:rFonts w:ascii="Arial" w:hAnsi="Arial" w:cs="Arial"/>
              </w:rPr>
            </w:pPr>
            <w:r w:rsidRPr="00AA15E2">
              <w:rPr>
                <w:rFonts w:ascii="Arial" w:hAnsi="Arial" w:cs="Arial"/>
              </w:rPr>
              <w:t>2</w:t>
            </w:r>
          </w:p>
        </w:tc>
        <w:tc>
          <w:tcPr>
            <w:tcW w:w="9459" w:type="dxa"/>
          </w:tcPr>
          <w:p w:rsidR="00AE511D" w:rsidRPr="00EB796C" w:rsidRDefault="00AE511D" w:rsidP="00AE511D">
            <w:pPr>
              <w:spacing w:after="0" w:line="240" w:lineRule="auto"/>
              <w:rPr>
                <w:sz w:val="20"/>
                <w:szCs w:val="20"/>
              </w:rPr>
            </w:pPr>
            <w:r w:rsidRPr="00EB796C">
              <w:rPr>
                <w:rFonts w:ascii="Britannic Bold" w:eastAsia="Times New Roman" w:hAnsi="Britannic Bold" w:cs="Arial"/>
                <w:color w:val="000000"/>
                <w:sz w:val="20"/>
                <w:szCs w:val="20"/>
              </w:rPr>
              <w:t>PRIORITY ISSUE</w:t>
            </w:r>
          </w:p>
          <w:p w:rsidR="00AE511D" w:rsidRPr="00EB796C" w:rsidRDefault="00AE511D" w:rsidP="00AE511D">
            <w:pPr>
              <w:spacing w:after="0" w:line="240" w:lineRule="auto"/>
              <w:contextualSpacing/>
              <w:rPr>
                <w:rFonts w:ascii="Britannic Bold" w:hAnsi="Britannic Bold" w:cs="Arial"/>
                <w:sz w:val="20"/>
                <w:szCs w:val="20"/>
              </w:rPr>
            </w:pPr>
          </w:p>
        </w:tc>
      </w:tr>
      <w:tr w:rsidR="00AE511D" w:rsidRPr="00AA15E2" w:rsidTr="00E96635">
        <w:tc>
          <w:tcPr>
            <w:tcW w:w="606" w:type="dxa"/>
          </w:tcPr>
          <w:p w:rsidR="00AE511D" w:rsidRPr="00AA15E2" w:rsidRDefault="00AE511D" w:rsidP="00AE511D">
            <w:pPr>
              <w:spacing w:after="0" w:line="240" w:lineRule="auto"/>
              <w:contextualSpacing/>
              <w:jc w:val="center"/>
              <w:rPr>
                <w:rFonts w:ascii="Arial" w:hAnsi="Arial" w:cs="Arial"/>
              </w:rPr>
            </w:pPr>
          </w:p>
        </w:tc>
        <w:tc>
          <w:tcPr>
            <w:tcW w:w="9459" w:type="dxa"/>
          </w:tcPr>
          <w:p w:rsidR="00AE511D" w:rsidRPr="00E62ADC" w:rsidRDefault="00AE511D" w:rsidP="00AE511D">
            <w:pPr>
              <w:spacing w:after="0" w:line="240" w:lineRule="auto"/>
              <w:rPr>
                <w:rFonts w:ascii="Arial" w:eastAsia="Times New Roman" w:hAnsi="Arial" w:cs="Arial"/>
                <w:color w:val="000000"/>
                <w:sz w:val="20"/>
                <w:szCs w:val="20"/>
              </w:rPr>
            </w:pPr>
            <w:r w:rsidRPr="00E62ADC">
              <w:rPr>
                <w:rFonts w:ascii="Arial" w:hAnsi="Arial" w:cs="Arial"/>
                <w:sz w:val="20"/>
                <w:szCs w:val="20"/>
              </w:rPr>
              <w:t>Financial Viability</w:t>
            </w:r>
          </w:p>
          <w:p w:rsidR="00AE511D" w:rsidRPr="00E62ADC" w:rsidRDefault="00AE511D" w:rsidP="00AE511D">
            <w:pPr>
              <w:spacing w:after="0" w:line="240" w:lineRule="auto"/>
              <w:rPr>
                <w:rFonts w:ascii="Arial" w:eastAsia="Times New Roman" w:hAnsi="Arial" w:cs="Arial"/>
                <w:color w:val="000000"/>
                <w:sz w:val="20"/>
                <w:szCs w:val="20"/>
              </w:rPr>
            </w:pPr>
          </w:p>
        </w:tc>
      </w:tr>
      <w:tr w:rsidR="00AE511D" w:rsidRPr="00AA15E2" w:rsidTr="00E96635">
        <w:trPr>
          <w:trHeight w:val="602"/>
        </w:trPr>
        <w:tc>
          <w:tcPr>
            <w:tcW w:w="606" w:type="dxa"/>
          </w:tcPr>
          <w:p w:rsidR="00AE511D" w:rsidRPr="00AA15E2" w:rsidRDefault="00AE511D" w:rsidP="00AE511D">
            <w:pPr>
              <w:spacing w:after="0" w:line="240" w:lineRule="auto"/>
              <w:contextualSpacing/>
              <w:rPr>
                <w:rFonts w:ascii="Arial" w:hAnsi="Arial" w:cs="Arial"/>
              </w:rPr>
            </w:pPr>
            <w:r w:rsidRPr="00AA15E2">
              <w:rPr>
                <w:rFonts w:ascii="Arial" w:hAnsi="Arial" w:cs="Arial"/>
              </w:rPr>
              <w:t>3</w:t>
            </w:r>
          </w:p>
        </w:tc>
        <w:tc>
          <w:tcPr>
            <w:tcW w:w="9459" w:type="dxa"/>
          </w:tcPr>
          <w:p w:rsidR="00AE511D" w:rsidRPr="00EB796C" w:rsidRDefault="00AE511D" w:rsidP="00AE511D">
            <w:pPr>
              <w:spacing w:after="0" w:line="240" w:lineRule="auto"/>
              <w:rPr>
                <w:sz w:val="20"/>
                <w:szCs w:val="20"/>
              </w:rPr>
            </w:pPr>
            <w:r w:rsidRPr="00EB796C">
              <w:rPr>
                <w:rFonts w:ascii="Britannic Bold" w:eastAsia="Times New Roman" w:hAnsi="Britannic Bold" w:cs="Arial"/>
                <w:color w:val="000000"/>
                <w:sz w:val="20"/>
                <w:szCs w:val="20"/>
              </w:rPr>
              <w:t>LEGISLATIVE CONTEXT</w:t>
            </w:r>
          </w:p>
          <w:p w:rsidR="00AE511D" w:rsidRPr="00EB796C" w:rsidRDefault="00AE511D" w:rsidP="00AE511D">
            <w:pPr>
              <w:spacing w:after="0" w:line="240" w:lineRule="auto"/>
              <w:jc w:val="both"/>
              <w:rPr>
                <w:rFonts w:ascii="Arial" w:hAnsi="Arial" w:cs="Arial"/>
                <w:sz w:val="20"/>
                <w:szCs w:val="20"/>
              </w:rPr>
            </w:pPr>
          </w:p>
        </w:tc>
      </w:tr>
      <w:tr w:rsidR="00AE511D" w:rsidRPr="00AA15E2" w:rsidTr="00E96635">
        <w:tc>
          <w:tcPr>
            <w:tcW w:w="606" w:type="dxa"/>
          </w:tcPr>
          <w:p w:rsidR="00AE511D" w:rsidRPr="00AA15E2" w:rsidRDefault="00AE511D" w:rsidP="00AE511D">
            <w:pPr>
              <w:spacing w:after="0" w:line="240" w:lineRule="auto"/>
              <w:contextualSpacing/>
              <w:rPr>
                <w:rFonts w:ascii="Arial" w:hAnsi="Arial" w:cs="Arial"/>
              </w:rPr>
            </w:pPr>
          </w:p>
        </w:tc>
        <w:tc>
          <w:tcPr>
            <w:tcW w:w="9459" w:type="dxa"/>
          </w:tcPr>
          <w:p w:rsidR="00AE511D" w:rsidRPr="00AE511D" w:rsidRDefault="00AE511D" w:rsidP="00AE511D">
            <w:pPr>
              <w:spacing w:line="360" w:lineRule="auto"/>
              <w:contextualSpacing/>
              <w:jc w:val="both"/>
              <w:rPr>
                <w:rFonts w:ascii="Arial" w:eastAsia="MS Mincho" w:hAnsi="Arial" w:cs="Arial"/>
                <w:sz w:val="20"/>
                <w:szCs w:val="20"/>
                <w:lang w:val="en-ZA" w:eastAsia="en-ZA"/>
              </w:rPr>
            </w:pPr>
            <w:r w:rsidRPr="00AE511D">
              <w:rPr>
                <w:rFonts w:ascii="Arial" w:eastAsiaTheme="minorHAnsi" w:hAnsi="Arial" w:cs="Arial"/>
                <w:sz w:val="20"/>
                <w:szCs w:val="20"/>
                <w:lang w:val="en-ZA"/>
              </w:rPr>
              <w:t>In</w:t>
            </w:r>
            <w:r w:rsidRPr="00AE511D">
              <w:rPr>
                <w:rFonts w:ascii="Arial" w:eastAsiaTheme="minorHAnsi" w:hAnsi="Arial" w:cs="Arial"/>
                <w:spacing w:val="43"/>
                <w:sz w:val="20"/>
                <w:szCs w:val="20"/>
                <w:lang w:val="en-ZA"/>
              </w:rPr>
              <w:t xml:space="preserve"> </w:t>
            </w:r>
            <w:r w:rsidRPr="00AE511D">
              <w:rPr>
                <w:rFonts w:ascii="Arial" w:eastAsiaTheme="minorHAnsi" w:hAnsi="Arial" w:cs="Arial"/>
                <w:spacing w:val="-1"/>
                <w:sz w:val="20"/>
                <w:szCs w:val="20"/>
                <w:lang w:val="en-ZA"/>
              </w:rPr>
              <w:t>terms</w:t>
            </w:r>
            <w:r w:rsidRPr="00AE511D">
              <w:rPr>
                <w:rFonts w:ascii="Arial" w:eastAsiaTheme="minorHAnsi" w:hAnsi="Arial" w:cs="Arial"/>
                <w:spacing w:val="44"/>
                <w:sz w:val="20"/>
                <w:szCs w:val="20"/>
                <w:lang w:val="en-ZA"/>
              </w:rPr>
              <w:t xml:space="preserve"> </w:t>
            </w:r>
            <w:r w:rsidRPr="00AE511D">
              <w:rPr>
                <w:rFonts w:ascii="Arial" w:eastAsiaTheme="minorHAnsi" w:hAnsi="Arial" w:cs="Arial"/>
                <w:spacing w:val="-2"/>
                <w:sz w:val="20"/>
                <w:szCs w:val="20"/>
                <w:lang w:val="en-ZA"/>
              </w:rPr>
              <w:t>of</w:t>
            </w:r>
            <w:r w:rsidRPr="00AE511D">
              <w:rPr>
                <w:rFonts w:ascii="Arial" w:eastAsiaTheme="minorHAnsi" w:hAnsi="Arial" w:cs="Arial"/>
                <w:spacing w:val="-1"/>
                <w:sz w:val="20"/>
                <w:szCs w:val="20"/>
                <w:lang w:val="en-ZA"/>
              </w:rPr>
              <w:t xml:space="preserve"> the </w:t>
            </w:r>
            <w:r w:rsidRPr="00AE511D">
              <w:rPr>
                <w:rFonts w:ascii="Arial" w:eastAsia="MS Mincho" w:hAnsi="Arial" w:cs="Arial"/>
                <w:sz w:val="20"/>
                <w:szCs w:val="20"/>
                <w:lang w:val="en-ZA" w:eastAsia="en-ZA"/>
              </w:rPr>
              <w:t xml:space="preserve">Local Government Municipal Finance Management Regulations section 6.3 stipulated that the Accounting Officer must with 10 days of the end of each quarter, submit a report on the implementation of the supply chain management policy to the mayor of the municipality or board of directors of the municipal entity as the case may be. </w:t>
            </w:r>
          </w:p>
          <w:p w:rsidR="00AE511D" w:rsidRPr="00AE511D" w:rsidRDefault="00AE511D" w:rsidP="00AE511D">
            <w:pPr>
              <w:widowControl w:val="0"/>
              <w:tabs>
                <w:tab w:val="left" w:pos="-76"/>
              </w:tabs>
              <w:spacing w:before="138" w:after="0" w:line="360" w:lineRule="auto"/>
              <w:ind w:right="118" w:hanging="360"/>
              <w:jc w:val="both"/>
              <w:rPr>
                <w:rFonts w:ascii="Arial" w:eastAsia="Arial" w:hAnsi="Arial" w:cs="Arial"/>
                <w:spacing w:val="-1"/>
                <w:sz w:val="20"/>
                <w:szCs w:val="20"/>
              </w:rPr>
            </w:pPr>
            <w:r w:rsidRPr="00AE511D">
              <w:rPr>
                <w:rFonts w:ascii="Arial" w:eastAsia="Arial" w:hAnsi="Arial" w:cs="Arial"/>
                <w:spacing w:val="-1"/>
                <w:sz w:val="20"/>
                <w:szCs w:val="20"/>
              </w:rPr>
              <w:t xml:space="preserve">      Paragraph 6 (3) of Council’s Supply Chain Management Policy requires the Accounting Officer to submit a report on the implementation of the said policy to the Executive Mayor within 10 days of the end of each quarter in line with the MFMA Act and Regulations. </w:t>
            </w:r>
          </w:p>
          <w:p w:rsidR="00AE511D" w:rsidRPr="00AE511D" w:rsidRDefault="00AE511D" w:rsidP="00AE511D">
            <w:pPr>
              <w:widowControl w:val="0"/>
              <w:tabs>
                <w:tab w:val="left" w:pos="-76"/>
              </w:tabs>
              <w:spacing w:before="138" w:after="0" w:line="360" w:lineRule="auto"/>
              <w:ind w:right="118" w:hanging="360"/>
              <w:jc w:val="both"/>
              <w:rPr>
                <w:rFonts w:ascii="Arial" w:eastAsia="Arial" w:hAnsi="Arial" w:cs="Arial"/>
                <w:spacing w:val="-1"/>
                <w:sz w:val="20"/>
                <w:szCs w:val="20"/>
              </w:rPr>
            </w:pPr>
            <w:r w:rsidRPr="00AE511D">
              <w:rPr>
                <w:rFonts w:ascii="Arial" w:eastAsia="Arial" w:hAnsi="Arial" w:cs="Arial"/>
                <w:spacing w:val="-1"/>
                <w:sz w:val="20"/>
                <w:szCs w:val="20"/>
              </w:rPr>
              <w:t xml:space="preserve">      Section 21 A of the Municipal Systems Act (Act 32 of 2000) is also applicable. In complying with the above provisions, the following quarterly reports on the implementation of Supply Chain Management Policy are available for public comment.</w:t>
            </w:r>
          </w:p>
          <w:p w:rsidR="00AE511D" w:rsidRPr="00EB796C" w:rsidRDefault="00AE511D" w:rsidP="00AE511D">
            <w:pPr>
              <w:spacing w:after="0" w:line="240" w:lineRule="auto"/>
              <w:jc w:val="both"/>
              <w:rPr>
                <w:rFonts w:ascii="Arial" w:hAnsi="Arial" w:cs="Arial"/>
                <w:b/>
                <w:sz w:val="20"/>
                <w:szCs w:val="20"/>
              </w:rPr>
            </w:pPr>
          </w:p>
        </w:tc>
      </w:tr>
      <w:tr w:rsidR="00AE511D" w:rsidRPr="00AA15E2" w:rsidTr="00E96635">
        <w:tc>
          <w:tcPr>
            <w:tcW w:w="606" w:type="dxa"/>
          </w:tcPr>
          <w:p w:rsidR="00AE511D" w:rsidRPr="00AA15E2" w:rsidRDefault="00AE511D" w:rsidP="00AE511D">
            <w:pPr>
              <w:spacing w:after="0" w:line="240" w:lineRule="auto"/>
              <w:contextualSpacing/>
              <w:rPr>
                <w:rFonts w:ascii="Arial" w:hAnsi="Arial" w:cs="Arial"/>
              </w:rPr>
            </w:pPr>
            <w:r w:rsidRPr="00AA15E2">
              <w:rPr>
                <w:rFonts w:ascii="Arial" w:hAnsi="Arial" w:cs="Arial"/>
              </w:rPr>
              <w:t>4</w:t>
            </w:r>
          </w:p>
        </w:tc>
        <w:tc>
          <w:tcPr>
            <w:tcW w:w="9459" w:type="dxa"/>
          </w:tcPr>
          <w:p w:rsidR="00AE511D" w:rsidRPr="00E62ADC" w:rsidRDefault="00AE511D" w:rsidP="00AE511D">
            <w:pPr>
              <w:spacing w:after="0" w:line="240" w:lineRule="auto"/>
              <w:rPr>
                <w:sz w:val="20"/>
                <w:szCs w:val="20"/>
              </w:rPr>
            </w:pPr>
            <w:r w:rsidRPr="00E62ADC">
              <w:rPr>
                <w:rFonts w:ascii="Britannic Bold" w:hAnsi="Britannic Bold" w:cs="Arial"/>
                <w:color w:val="000000"/>
                <w:sz w:val="20"/>
                <w:szCs w:val="20"/>
              </w:rPr>
              <w:t>PURPOSE OF THE REPORT</w:t>
            </w:r>
          </w:p>
          <w:p w:rsidR="00AE511D" w:rsidRPr="00EB796C" w:rsidRDefault="00AE511D" w:rsidP="00AE511D">
            <w:pPr>
              <w:spacing w:after="0" w:line="240" w:lineRule="auto"/>
              <w:jc w:val="both"/>
              <w:rPr>
                <w:rFonts w:ascii="Arial" w:hAnsi="Arial" w:cs="Arial"/>
                <w:sz w:val="20"/>
                <w:szCs w:val="20"/>
              </w:rPr>
            </w:pPr>
          </w:p>
        </w:tc>
      </w:tr>
      <w:tr w:rsidR="00AE511D" w:rsidRPr="00AA15E2" w:rsidTr="00E96635">
        <w:tc>
          <w:tcPr>
            <w:tcW w:w="606" w:type="dxa"/>
          </w:tcPr>
          <w:p w:rsidR="00AE511D" w:rsidRPr="00AA15E2" w:rsidRDefault="00AE511D" w:rsidP="00AE511D">
            <w:pPr>
              <w:spacing w:after="0" w:line="240" w:lineRule="auto"/>
              <w:contextualSpacing/>
              <w:jc w:val="center"/>
              <w:rPr>
                <w:rFonts w:ascii="Arial" w:hAnsi="Arial" w:cs="Arial"/>
              </w:rPr>
            </w:pPr>
          </w:p>
        </w:tc>
        <w:tc>
          <w:tcPr>
            <w:tcW w:w="9459" w:type="dxa"/>
          </w:tcPr>
          <w:p w:rsidR="00AE511D" w:rsidRPr="00EB796C" w:rsidRDefault="00AE511D" w:rsidP="00AE511D">
            <w:pPr>
              <w:rPr>
                <w:rFonts w:ascii="Arial" w:eastAsia="Arial Unicode MS" w:hAnsi="Arial" w:cs="Arial"/>
                <w:sz w:val="20"/>
                <w:szCs w:val="20"/>
              </w:rPr>
            </w:pPr>
            <w:r w:rsidRPr="00EB796C">
              <w:rPr>
                <w:rFonts w:ascii="Arial" w:eastAsia="Arial Unicode MS" w:hAnsi="Arial" w:cs="Arial"/>
                <w:sz w:val="20"/>
                <w:szCs w:val="20"/>
              </w:rPr>
              <w:t xml:space="preserve">Monthly reports for consideration by Management and be reported to Provincial treasury  </w:t>
            </w:r>
          </w:p>
          <w:p w:rsidR="00AE511D" w:rsidRPr="00EB796C" w:rsidRDefault="00AE511D" w:rsidP="00AE511D">
            <w:pPr>
              <w:rPr>
                <w:rFonts w:ascii="Arial" w:eastAsia="Arial Unicode MS" w:hAnsi="Arial" w:cs="Arial"/>
                <w:sz w:val="20"/>
                <w:szCs w:val="20"/>
              </w:rPr>
            </w:pPr>
            <w:r w:rsidRPr="00EB796C">
              <w:rPr>
                <w:rFonts w:ascii="Arial" w:eastAsia="Arial Unicode MS" w:hAnsi="Arial" w:cs="Arial"/>
                <w:sz w:val="20"/>
                <w:szCs w:val="20"/>
              </w:rPr>
              <w:t xml:space="preserve">Quarterly report for consideration by the Mayoral Committee, and </w:t>
            </w:r>
          </w:p>
          <w:p w:rsidR="00A649D3" w:rsidRPr="00EB796C" w:rsidRDefault="00AE511D" w:rsidP="00AE511D">
            <w:pPr>
              <w:rPr>
                <w:rFonts w:ascii="Arial" w:eastAsia="Arial Unicode MS" w:hAnsi="Arial" w:cs="Arial"/>
                <w:sz w:val="20"/>
                <w:szCs w:val="20"/>
              </w:rPr>
            </w:pPr>
            <w:r w:rsidRPr="00EB796C">
              <w:rPr>
                <w:rFonts w:ascii="Arial" w:eastAsia="Arial Unicode MS" w:hAnsi="Arial" w:cs="Arial"/>
                <w:sz w:val="20"/>
                <w:szCs w:val="20"/>
              </w:rPr>
              <w:t>A report to Council at the end of each financial.</w:t>
            </w:r>
          </w:p>
          <w:p w:rsidR="00A649D3" w:rsidRPr="00EB796C" w:rsidRDefault="00A649D3" w:rsidP="00AE511D">
            <w:pPr>
              <w:rPr>
                <w:rFonts w:ascii="Arial" w:eastAsia="Arial Unicode MS" w:hAnsi="Arial" w:cs="Arial"/>
                <w:sz w:val="20"/>
                <w:szCs w:val="20"/>
              </w:rPr>
            </w:pPr>
          </w:p>
        </w:tc>
      </w:tr>
      <w:tr w:rsidR="00AE511D" w:rsidRPr="00AA15E2" w:rsidTr="00E96635">
        <w:tc>
          <w:tcPr>
            <w:tcW w:w="606" w:type="dxa"/>
          </w:tcPr>
          <w:p w:rsidR="00AE511D" w:rsidRPr="00AA15E2" w:rsidRDefault="00AE511D" w:rsidP="00AE511D">
            <w:pPr>
              <w:spacing w:after="0" w:line="240" w:lineRule="auto"/>
              <w:contextualSpacing/>
              <w:rPr>
                <w:rFonts w:ascii="Arial" w:hAnsi="Arial" w:cs="Arial"/>
              </w:rPr>
            </w:pPr>
            <w:r w:rsidRPr="00AA15E2">
              <w:rPr>
                <w:rFonts w:ascii="Arial" w:hAnsi="Arial" w:cs="Arial"/>
              </w:rPr>
              <w:t>5</w:t>
            </w:r>
          </w:p>
        </w:tc>
        <w:tc>
          <w:tcPr>
            <w:tcW w:w="9459" w:type="dxa"/>
          </w:tcPr>
          <w:p w:rsidR="00A649D3" w:rsidRPr="00E62ADC" w:rsidRDefault="00A649D3" w:rsidP="00AE511D">
            <w:pPr>
              <w:spacing w:after="0" w:line="360" w:lineRule="auto"/>
              <w:jc w:val="both"/>
              <w:rPr>
                <w:rFonts w:ascii="Britannic Bold" w:eastAsia="Arial" w:hAnsi="Britannic Bold" w:cs="Arial"/>
                <w:spacing w:val="-1"/>
                <w:sz w:val="20"/>
                <w:szCs w:val="20"/>
              </w:rPr>
            </w:pPr>
            <w:r w:rsidRPr="00E62ADC">
              <w:rPr>
                <w:rFonts w:ascii="Britannic Bold" w:eastAsia="Arial" w:hAnsi="Britannic Bold" w:cs="Arial"/>
                <w:spacing w:val="-1"/>
                <w:sz w:val="20"/>
                <w:szCs w:val="20"/>
              </w:rPr>
              <w:t xml:space="preserve">BACKROUND </w:t>
            </w:r>
          </w:p>
          <w:p w:rsidR="00AE511D" w:rsidRPr="00EB796C" w:rsidRDefault="00AE511D" w:rsidP="00AE511D">
            <w:pPr>
              <w:spacing w:after="0" w:line="360" w:lineRule="auto"/>
              <w:jc w:val="both"/>
              <w:rPr>
                <w:rFonts w:ascii="Arial" w:hAnsi="Arial" w:cs="Arial"/>
                <w:sz w:val="20"/>
                <w:szCs w:val="20"/>
              </w:rPr>
            </w:pPr>
            <w:r w:rsidRPr="00AE511D">
              <w:rPr>
                <w:rFonts w:ascii="Arial" w:eastAsia="Arial" w:hAnsi="Arial" w:cs="Arial"/>
                <w:spacing w:val="-1"/>
                <w:sz w:val="20"/>
                <w:szCs w:val="20"/>
              </w:rPr>
              <w:t xml:space="preserve">Supply Chain Management Policy requires the Accounting Officer to submit a report on the implementation of the said policy to the Executive Mayor within 10 days of the end of each quarter in line with the MFMA Act and Regulations. </w:t>
            </w:r>
          </w:p>
        </w:tc>
      </w:tr>
      <w:tr w:rsidR="00AE511D" w:rsidRPr="00AA15E2" w:rsidTr="00E96635">
        <w:tc>
          <w:tcPr>
            <w:tcW w:w="606" w:type="dxa"/>
          </w:tcPr>
          <w:p w:rsidR="00AE511D" w:rsidRPr="00AA15E2" w:rsidRDefault="00AE511D" w:rsidP="00AE511D">
            <w:pPr>
              <w:spacing w:after="0" w:line="240" w:lineRule="auto"/>
              <w:contextualSpacing/>
              <w:jc w:val="center"/>
              <w:rPr>
                <w:rFonts w:ascii="Arial" w:hAnsi="Arial" w:cs="Arial"/>
              </w:rPr>
            </w:pPr>
          </w:p>
        </w:tc>
        <w:tc>
          <w:tcPr>
            <w:tcW w:w="9459" w:type="dxa"/>
          </w:tcPr>
          <w:p w:rsidR="00AE511D" w:rsidRPr="00EB796C" w:rsidRDefault="00AE511D" w:rsidP="00AE511D">
            <w:pPr>
              <w:widowControl w:val="0"/>
              <w:autoSpaceDE w:val="0"/>
              <w:autoSpaceDN w:val="0"/>
              <w:spacing w:after="0" w:line="360" w:lineRule="auto"/>
              <w:jc w:val="both"/>
              <w:rPr>
                <w:rFonts w:ascii="Britannic Bold" w:eastAsia="Times New Roman" w:hAnsi="Britannic Bold" w:cs="Arial"/>
                <w:color w:val="000000"/>
                <w:sz w:val="20"/>
                <w:szCs w:val="20"/>
              </w:rPr>
            </w:pPr>
          </w:p>
          <w:p w:rsidR="003707B4" w:rsidRPr="00EB796C" w:rsidRDefault="003707B4" w:rsidP="00AE511D">
            <w:pPr>
              <w:widowControl w:val="0"/>
              <w:autoSpaceDE w:val="0"/>
              <w:autoSpaceDN w:val="0"/>
              <w:spacing w:after="0" w:line="360" w:lineRule="auto"/>
              <w:jc w:val="both"/>
              <w:rPr>
                <w:rFonts w:ascii="Britannic Bold" w:eastAsia="Times New Roman" w:hAnsi="Britannic Bold" w:cs="Arial"/>
                <w:color w:val="000000"/>
                <w:sz w:val="20"/>
                <w:szCs w:val="20"/>
              </w:rPr>
            </w:pPr>
          </w:p>
          <w:p w:rsidR="003707B4" w:rsidRPr="00EB796C" w:rsidRDefault="003707B4" w:rsidP="00AE511D">
            <w:pPr>
              <w:widowControl w:val="0"/>
              <w:autoSpaceDE w:val="0"/>
              <w:autoSpaceDN w:val="0"/>
              <w:spacing w:after="0" w:line="360" w:lineRule="auto"/>
              <w:jc w:val="both"/>
              <w:rPr>
                <w:rFonts w:ascii="Britannic Bold" w:eastAsia="Times New Roman" w:hAnsi="Britannic Bold" w:cs="Arial"/>
                <w:color w:val="000000"/>
                <w:sz w:val="20"/>
                <w:szCs w:val="20"/>
              </w:rPr>
            </w:pPr>
          </w:p>
          <w:p w:rsidR="003707B4" w:rsidRPr="00EB796C" w:rsidRDefault="003707B4" w:rsidP="00AE511D">
            <w:pPr>
              <w:widowControl w:val="0"/>
              <w:autoSpaceDE w:val="0"/>
              <w:autoSpaceDN w:val="0"/>
              <w:spacing w:after="0" w:line="360" w:lineRule="auto"/>
              <w:jc w:val="both"/>
              <w:rPr>
                <w:rFonts w:ascii="Britannic Bold" w:eastAsia="Times New Roman" w:hAnsi="Britannic Bold" w:cs="Arial"/>
                <w:color w:val="000000"/>
                <w:sz w:val="20"/>
                <w:szCs w:val="20"/>
              </w:rPr>
            </w:pPr>
          </w:p>
          <w:p w:rsidR="003707B4" w:rsidRPr="00EB796C" w:rsidRDefault="003707B4" w:rsidP="00AE511D">
            <w:pPr>
              <w:widowControl w:val="0"/>
              <w:autoSpaceDE w:val="0"/>
              <w:autoSpaceDN w:val="0"/>
              <w:spacing w:after="0" w:line="360" w:lineRule="auto"/>
              <w:jc w:val="both"/>
              <w:rPr>
                <w:rFonts w:ascii="Britannic Bold" w:eastAsia="Times New Roman" w:hAnsi="Britannic Bold" w:cs="Arial"/>
                <w:color w:val="000000"/>
                <w:sz w:val="20"/>
                <w:szCs w:val="20"/>
              </w:rPr>
            </w:pPr>
          </w:p>
          <w:p w:rsidR="003707B4" w:rsidRPr="00EB796C" w:rsidRDefault="003707B4" w:rsidP="00AE511D">
            <w:pPr>
              <w:widowControl w:val="0"/>
              <w:autoSpaceDE w:val="0"/>
              <w:autoSpaceDN w:val="0"/>
              <w:spacing w:after="0" w:line="360" w:lineRule="auto"/>
              <w:jc w:val="both"/>
              <w:rPr>
                <w:rFonts w:ascii="Britannic Bold" w:eastAsia="Times New Roman" w:hAnsi="Britannic Bold" w:cs="Arial"/>
                <w:color w:val="000000"/>
                <w:sz w:val="20"/>
                <w:szCs w:val="20"/>
              </w:rPr>
            </w:pPr>
          </w:p>
          <w:p w:rsidR="003707B4" w:rsidRPr="00EB796C" w:rsidRDefault="003707B4" w:rsidP="00AE511D">
            <w:pPr>
              <w:widowControl w:val="0"/>
              <w:autoSpaceDE w:val="0"/>
              <w:autoSpaceDN w:val="0"/>
              <w:spacing w:after="0" w:line="360" w:lineRule="auto"/>
              <w:jc w:val="both"/>
              <w:rPr>
                <w:rFonts w:ascii="Britannic Bold" w:eastAsia="Times New Roman" w:hAnsi="Britannic Bold" w:cs="Arial"/>
                <w:color w:val="000000"/>
                <w:sz w:val="20"/>
                <w:szCs w:val="20"/>
              </w:rPr>
            </w:pPr>
          </w:p>
        </w:tc>
      </w:tr>
      <w:tr w:rsidR="00AE511D" w:rsidRPr="00E62ADC" w:rsidTr="00E96635">
        <w:tc>
          <w:tcPr>
            <w:tcW w:w="606" w:type="dxa"/>
          </w:tcPr>
          <w:p w:rsidR="00A649D3" w:rsidRPr="00E62ADC" w:rsidRDefault="00A649D3" w:rsidP="00AE511D">
            <w:pPr>
              <w:spacing w:after="0" w:line="240" w:lineRule="auto"/>
              <w:contextualSpacing/>
              <w:rPr>
                <w:rFonts w:ascii="Britannic Bold" w:hAnsi="Britannic Bold" w:cs="Arial"/>
              </w:rPr>
            </w:pPr>
            <w:r w:rsidRPr="00E62ADC">
              <w:rPr>
                <w:rFonts w:ascii="Britannic Bold" w:hAnsi="Britannic Bold" w:cs="Arial"/>
              </w:rPr>
              <w:lastRenderedPageBreak/>
              <w:t>5.1</w:t>
            </w:r>
          </w:p>
          <w:p w:rsidR="00A649D3" w:rsidRPr="00E62ADC" w:rsidRDefault="00A649D3" w:rsidP="00AE511D">
            <w:pPr>
              <w:spacing w:after="0" w:line="240" w:lineRule="auto"/>
              <w:contextualSpacing/>
              <w:rPr>
                <w:rFonts w:ascii="Britannic Bold" w:hAnsi="Britannic Bold" w:cs="Arial"/>
              </w:rPr>
            </w:pPr>
          </w:p>
        </w:tc>
        <w:tc>
          <w:tcPr>
            <w:tcW w:w="9459" w:type="dxa"/>
          </w:tcPr>
          <w:p w:rsidR="00A649D3" w:rsidRPr="00A649D3" w:rsidRDefault="00A649D3" w:rsidP="00A649D3">
            <w:pPr>
              <w:rPr>
                <w:rFonts w:ascii="Arial" w:eastAsia="Arial Unicode MS" w:hAnsi="Arial" w:cs="Arial"/>
                <w:sz w:val="20"/>
                <w:szCs w:val="20"/>
                <w:lang w:val="en-ZA"/>
              </w:rPr>
            </w:pPr>
            <w:r w:rsidRPr="00A649D3">
              <w:rPr>
                <w:rFonts w:ascii="Arial" w:eastAsia="Arial Unicode MS" w:hAnsi="Arial" w:cs="Arial"/>
                <w:sz w:val="20"/>
                <w:szCs w:val="20"/>
                <w:lang w:val="en-ZA"/>
              </w:rPr>
              <w:t>Monthly procured goods and services in the R2 000.00 – R 200 000.00 threshold are reported to the Chief Financial Officer by the 7th of each month. The MFMA compliance report is regulated in the MFMA Act and Regulations, Act 56 of 2003, Section 18 which gives guidance on the procedures for procuring goods and services through written or verbal quotations and formal written quotations.</w:t>
            </w:r>
            <w:r w:rsidRPr="00E62ADC">
              <w:rPr>
                <w:rFonts w:ascii="Arial" w:eastAsia="Arial Unicode MS" w:hAnsi="Arial" w:cs="Arial"/>
                <w:sz w:val="20"/>
                <w:szCs w:val="20"/>
                <w:lang w:val="en-ZA"/>
              </w:rPr>
              <w:t xml:space="preserve"> (VAT included)</w:t>
            </w:r>
          </w:p>
          <w:p w:rsidR="00A649D3" w:rsidRPr="00D024A8" w:rsidRDefault="00A649D3" w:rsidP="00A649D3">
            <w:pPr>
              <w:rPr>
                <w:rFonts w:ascii="Arial" w:eastAsia="Arial Unicode MS" w:hAnsi="Arial" w:cs="Arial"/>
                <w:color w:val="000000" w:themeColor="text1"/>
                <w:sz w:val="20"/>
                <w:szCs w:val="20"/>
                <w:lang w:val="en-ZA"/>
              </w:rPr>
            </w:pPr>
            <w:r w:rsidRPr="00D024A8">
              <w:rPr>
                <w:rFonts w:ascii="Arial" w:eastAsia="Arial Unicode MS" w:hAnsi="Arial" w:cs="Arial"/>
                <w:color w:val="000000" w:themeColor="text1"/>
                <w:sz w:val="20"/>
                <w:szCs w:val="20"/>
                <w:lang w:val="en-ZA"/>
              </w:rPr>
              <w:t xml:space="preserve">Attached hereto as </w:t>
            </w:r>
            <w:r w:rsidR="002A746C">
              <w:rPr>
                <w:rFonts w:ascii="Arial" w:eastAsia="Arial Unicode MS" w:hAnsi="Arial" w:cs="Arial"/>
                <w:color w:val="000000" w:themeColor="text1"/>
                <w:sz w:val="20"/>
                <w:szCs w:val="20"/>
                <w:u w:val="single"/>
                <w:lang w:val="en-ZA"/>
              </w:rPr>
              <w:t>ANNEXURE “</w:t>
            </w:r>
            <w:r w:rsidR="00657DE5">
              <w:rPr>
                <w:rFonts w:ascii="Arial" w:eastAsia="Arial Unicode MS" w:hAnsi="Arial" w:cs="Arial"/>
                <w:color w:val="000000" w:themeColor="text1"/>
                <w:sz w:val="20"/>
                <w:szCs w:val="20"/>
                <w:u w:val="single"/>
                <w:lang w:val="en-ZA"/>
              </w:rPr>
              <w:t>A</w:t>
            </w:r>
            <w:r w:rsidRPr="00D024A8">
              <w:rPr>
                <w:rFonts w:ascii="Arial" w:eastAsia="Arial Unicode MS" w:hAnsi="Arial" w:cs="Arial"/>
                <w:color w:val="000000" w:themeColor="text1"/>
                <w:sz w:val="20"/>
                <w:szCs w:val="20"/>
                <w:u w:val="single"/>
                <w:lang w:val="en-ZA"/>
              </w:rPr>
              <w:t>”</w:t>
            </w:r>
            <w:r w:rsidRPr="00D024A8">
              <w:rPr>
                <w:rFonts w:ascii="Arial" w:eastAsia="Arial Unicode MS" w:hAnsi="Arial" w:cs="Arial"/>
                <w:color w:val="000000" w:themeColor="text1"/>
                <w:sz w:val="20"/>
                <w:szCs w:val="20"/>
                <w:lang w:val="en-ZA"/>
              </w:rPr>
              <w:t xml:space="preserve"> is a list of all transactions from 1</w:t>
            </w:r>
            <w:r w:rsidRPr="00D024A8">
              <w:rPr>
                <w:rFonts w:ascii="Arial" w:eastAsia="Arial Unicode MS" w:hAnsi="Arial" w:cs="Arial"/>
                <w:color w:val="000000" w:themeColor="text1"/>
                <w:sz w:val="20"/>
                <w:szCs w:val="20"/>
                <w:vertAlign w:val="superscript"/>
                <w:lang w:val="en-ZA"/>
              </w:rPr>
              <w:t>st</w:t>
            </w:r>
            <w:r w:rsidR="002C091D" w:rsidRPr="00D024A8">
              <w:rPr>
                <w:rFonts w:ascii="Arial" w:eastAsia="Arial Unicode MS" w:hAnsi="Arial" w:cs="Arial"/>
                <w:color w:val="000000" w:themeColor="text1"/>
                <w:sz w:val="20"/>
                <w:szCs w:val="20"/>
                <w:lang w:val="en-ZA"/>
              </w:rPr>
              <w:t xml:space="preserve"> January</w:t>
            </w:r>
            <w:r w:rsidRPr="00D024A8">
              <w:rPr>
                <w:rFonts w:ascii="Arial" w:eastAsia="Arial Unicode MS" w:hAnsi="Arial" w:cs="Arial"/>
                <w:color w:val="000000" w:themeColor="text1"/>
                <w:sz w:val="20"/>
                <w:szCs w:val="20"/>
                <w:lang w:val="en-ZA"/>
              </w:rPr>
              <w:t xml:space="preserve"> to 31</w:t>
            </w:r>
            <w:r w:rsidRPr="00D024A8">
              <w:rPr>
                <w:rFonts w:ascii="Arial" w:eastAsia="Arial Unicode MS" w:hAnsi="Arial" w:cs="Arial"/>
                <w:color w:val="000000" w:themeColor="text1"/>
                <w:sz w:val="20"/>
                <w:szCs w:val="20"/>
                <w:vertAlign w:val="superscript"/>
                <w:lang w:val="en-ZA"/>
              </w:rPr>
              <w:t>st</w:t>
            </w:r>
            <w:r w:rsidR="002C091D" w:rsidRPr="00D024A8">
              <w:rPr>
                <w:rFonts w:ascii="Arial" w:eastAsia="Arial Unicode MS" w:hAnsi="Arial" w:cs="Arial"/>
                <w:color w:val="000000" w:themeColor="text1"/>
                <w:sz w:val="20"/>
                <w:szCs w:val="20"/>
                <w:lang w:val="en-ZA"/>
              </w:rPr>
              <w:t xml:space="preserve"> March 2022</w:t>
            </w:r>
            <w:r w:rsidRPr="00D024A8">
              <w:rPr>
                <w:rFonts w:ascii="Arial" w:eastAsia="Arial Unicode MS" w:hAnsi="Arial" w:cs="Arial"/>
                <w:color w:val="000000" w:themeColor="text1"/>
                <w:sz w:val="20"/>
                <w:szCs w:val="20"/>
                <w:lang w:val="en-ZA"/>
              </w:rPr>
              <w:t>.</w:t>
            </w:r>
          </w:p>
          <w:p w:rsidR="00A649D3" w:rsidRPr="00D024A8" w:rsidRDefault="00A649D3" w:rsidP="003707B4">
            <w:pPr>
              <w:widowControl w:val="0"/>
              <w:spacing w:before="104" w:after="0" w:line="240" w:lineRule="auto"/>
              <w:rPr>
                <w:rFonts w:ascii="Arial" w:eastAsia="Arial" w:hAnsi="Arial" w:cs="Arial"/>
                <w:color w:val="000000" w:themeColor="text1"/>
                <w:spacing w:val="-2"/>
                <w:sz w:val="20"/>
                <w:szCs w:val="20"/>
                <w:u w:val="single"/>
              </w:rPr>
            </w:pPr>
          </w:p>
          <w:p w:rsidR="003707B4" w:rsidRPr="003707B4" w:rsidRDefault="003707B4" w:rsidP="003707B4">
            <w:pPr>
              <w:widowControl w:val="0"/>
              <w:spacing w:before="104" w:after="0" w:line="240" w:lineRule="auto"/>
              <w:rPr>
                <w:rFonts w:ascii="Arial" w:eastAsia="Arial" w:hAnsi="Arial" w:cs="Arial"/>
                <w:b/>
                <w:spacing w:val="-2"/>
                <w:sz w:val="20"/>
                <w:szCs w:val="20"/>
                <w:u w:val="single"/>
              </w:rPr>
            </w:pPr>
            <w:r w:rsidRPr="003707B4">
              <w:rPr>
                <w:rFonts w:ascii="Arial" w:eastAsia="Arial" w:hAnsi="Arial" w:cs="Arial"/>
                <w:b/>
                <w:spacing w:val="-2"/>
                <w:sz w:val="20"/>
                <w:szCs w:val="20"/>
                <w:u w:val="single"/>
              </w:rPr>
              <w:t>Table 2.2.1 Summary of goods and services through written or verbal quotations and formal written price quotations</w:t>
            </w:r>
            <w:r w:rsidR="002C091D">
              <w:rPr>
                <w:rFonts w:ascii="Arial" w:eastAsia="Arial" w:hAnsi="Arial" w:cs="Arial"/>
                <w:b/>
                <w:spacing w:val="-2"/>
                <w:sz w:val="20"/>
                <w:szCs w:val="20"/>
                <w:u w:val="single"/>
              </w:rPr>
              <w:t xml:space="preserve"> from 1</w:t>
            </w:r>
            <w:r w:rsidR="002C091D">
              <w:rPr>
                <w:rFonts w:ascii="Arial" w:eastAsia="Arial" w:hAnsi="Arial" w:cs="Arial"/>
                <w:b/>
                <w:spacing w:val="-2"/>
                <w:sz w:val="20"/>
                <w:szCs w:val="20"/>
                <w:u w:val="single"/>
                <w:vertAlign w:val="superscript"/>
              </w:rPr>
              <w:t xml:space="preserve">st </w:t>
            </w:r>
            <w:r w:rsidR="009029F6">
              <w:rPr>
                <w:rFonts w:ascii="Arial" w:eastAsia="Arial" w:hAnsi="Arial" w:cs="Arial"/>
                <w:b/>
                <w:spacing w:val="-2"/>
                <w:sz w:val="20"/>
                <w:szCs w:val="20"/>
                <w:u w:val="single"/>
              </w:rPr>
              <w:t>January  2022 to 31</w:t>
            </w:r>
            <w:r w:rsidR="002C091D" w:rsidRPr="002C091D">
              <w:rPr>
                <w:rFonts w:ascii="Arial" w:eastAsia="Arial" w:hAnsi="Arial" w:cs="Arial"/>
                <w:b/>
                <w:spacing w:val="-2"/>
                <w:sz w:val="20"/>
                <w:szCs w:val="20"/>
                <w:u w:val="single"/>
                <w:vertAlign w:val="superscript"/>
              </w:rPr>
              <w:t>th</w:t>
            </w:r>
            <w:r w:rsidR="002C091D">
              <w:rPr>
                <w:rFonts w:ascii="Arial" w:eastAsia="Arial" w:hAnsi="Arial" w:cs="Arial"/>
                <w:b/>
                <w:spacing w:val="-2"/>
                <w:sz w:val="20"/>
                <w:szCs w:val="20"/>
                <w:u w:val="single"/>
              </w:rPr>
              <w:t xml:space="preserve"> March  2022</w:t>
            </w:r>
          </w:p>
          <w:p w:rsidR="003707B4" w:rsidRPr="003707B4" w:rsidRDefault="003707B4" w:rsidP="003707B4">
            <w:pPr>
              <w:widowControl w:val="0"/>
              <w:tabs>
                <w:tab w:val="left" w:pos="481"/>
              </w:tabs>
              <w:spacing w:before="104" w:after="0" w:line="240" w:lineRule="auto"/>
              <w:rPr>
                <w:rFonts w:ascii="Arial" w:eastAsia="Arial" w:hAnsi="Arial" w:cs="Arial"/>
                <w:b/>
                <w:spacing w:val="-2"/>
                <w:sz w:val="20"/>
                <w:szCs w:val="20"/>
                <w:u w:val="single"/>
              </w:rPr>
            </w:pPr>
          </w:p>
          <w:tbl>
            <w:tblPr>
              <w:tblW w:w="0" w:type="auto"/>
              <w:tblInd w:w="420" w:type="dxa"/>
              <w:tblLayout w:type="fixed"/>
              <w:tblLook w:val="01E0" w:firstRow="1" w:lastRow="1" w:firstColumn="1" w:lastColumn="1" w:noHBand="0" w:noVBand="0"/>
            </w:tblPr>
            <w:tblGrid>
              <w:gridCol w:w="3827"/>
              <w:gridCol w:w="1984"/>
              <w:gridCol w:w="2694"/>
            </w:tblGrid>
            <w:tr w:rsidR="003707B4" w:rsidRPr="003707B4" w:rsidTr="0045072E">
              <w:trPr>
                <w:trHeight w:hRule="exact" w:val="696"/>
              </w:trPr>
              <w:tc>
                <w:tcPr>
                  <w:tcW w:w="3827" w:type="dxa"/>
                  <w:tcBorders>
                    <w:top w:val="single" w:sz="8" w:space="0" w:color="000000"/>
                    <w:left w:val="single" w:sz="5" w:space="0" w:color="000000"/>
                    <w:bottom w:val="single" w:sz="8" w:space="0" w:color="000000"/>
                    <w:right w:val="single" w:sz="5" w:space="0" w:color="000000"/>
                  </w:tcBorders>
                  <w:shd w:val="clear" w:color="auto" w:fill="C5E0B2"/>
                </w:tcPr>
                <w:p w:rsidR="003707B4" w:rsidRPr="003707B4" w:rsidRDefault="003707B4" w:rsidP="003707B4">
                  <w:pPr>
                    <w:widowControl w:val="0"/>
                    <w:spacing w:after="0" w:line="247" w:lineRule="exact"/>
                    <w:ind w:left="102"/>
                    <w:rPr>
                      <w:rFonts w:ascii="Arial" w:eastAsia="Arial" w:hAnsi="Arial" w:cs="Arial"/>
                      <w:sz w:val="20"/>
                      <w:szCs w:val="20"/>
                    </w:rPr>
                  </w:pPr>
                  <w:r w:rsidRPr="003707B4">
                    <w:rPr>
                      <w:rFonts w:ascii="Arial" w:eastAsiaTheme="minorHAnsi" w:hAnsi="Arial" w:cs="Arial"/>
                      <w:b/>
                      <w:spacing w:val="-1"/>
                      <w:sz w:val="20"/>
                      <w:szCs w:val="20"/>
                    </w:rPr>
                    <w:t>Threshold</w:t>
                  </w:r>
                </w:p>
              </w:tc>
              <w:tc>
                <w:tcPr>
                  <w:tcW w:w="1984" w:type="dxa"/>
                  <w:tcBorders>
                    <w:top w:val="single" w:sz="8" w:space="0" w:color="000000"/>
                    <w:left w:val="single" w:sz="5" w:space="0" w:color="000000"/>
                    <w:bottom w:val="single" w:sz="8" w:space="0" w:color="000000"/>
                    <w:right w:val="single" w:sz="5" w:space="0" w:color="000000"/>
                  </w:tcBorders>
                  <w:shd w:val="clear" w:color="auto" w:fill="C5E0B2"/>
                </w:tcPr>
                <w:p w:rsidR="003707B4" w:rsidRPr="003707B4" w:rsidRDefault="003707B4" w:rsidP="003707B4">
                  <w:pPr>
                    <w:widowControl w:val="0"/>
                    <w:spacing w:after="0" w:line="247" w:lineRule="exact"/>
                    <w:ind w:left="102"/>
                    <w:rPr>
                      <w:rFonts w:ascii="Arial" w:eastAsia="Arial" w:hAnsi="Arial" w:cs="Arial"/>
                      <w:sz w:val="20"/>
                      <w:szCs w:val="20"/>
                    </w:rPr>
                  </w:pPr>
                  <w:r w:rsidRPr="003707B4">
                    <w:rPr>
                      <w:rFonts w:ascii="Arial" w:eastAsiaTheme="minorHAnsi" w:hAnsi="Arial" w:cs="Arial"/>
                      <w:b/>
                      <w:spacing w:val="-1"/>
                      <w:sz w:val="20"/>
                      <w:szCs w:val="20"/>
                    </w:rPr>
                    <w:t>Quantity</w:t>
                  </w:r>
                </w:p>
              </w:tc>
              <w:tc>
                <w:tcPr>
                  <w:tcW w:w="2694" w:type="dxa"/>
                  <w:tcBorders>
                    <w:top w:val="single" w:sz="8" w:space="0" w:color="000000"/>
                    <w:left w:val="single" w:sz="5" w:space="0" w:color="000000"/>
                    <w:bottom w:val="single" w:sz="8" w:space="0" w:color="000000"/>
                    <w:right w:val="single" w:sz="5" w:space="0" w:color="000000"/>
                  </w:tcBorders>
                  <w:shd w:val="clear" w:color="auto" w:fill="C5E0B2"/>
                </w:tcPr>
                <w:p w:rsidR="003707B4" w:rsidRPr="003707B4" w:rsidRDefault="003707B4" w:rsidP="003707B4">
                  <w:pPr>
                    <w:widowControl w:val="0"/>
                    <w:spacing w:after="0" w:line="241" w:lineRule="auto"/>
                    <w:ind w:left="102" w:right="556"/>
                    <w:rPr>
                      <w:rFonts w:ascii="Arial" w:eastAsia="Arial" w:hAnsi="Arial" w:cs="Arial"/>
                      <w:sz w:val="20"/>
                      <w:szCs w:val="20"/>
                    </w:rPr>
                  </w:pPr>
                  <w:r w:rsidRPr="003707B4">
                    <w:rPr>
                      <w:rFonts w:ascii="Arial" w:eastAsiaTheme="minorHAnsi" w:hAnsi="Arial" w:cs="Arial"/>
                      <w:b/>
                      <w:spacing w:val="-1"/>
                      <w:sz w:val="20"/>
                      <w:szCs w:val="20"/>
                    </w:rPr>
                    <w:t xml:space="preserve">Rand </w:t>
                  </w:r>
                  <w:r w:rsidRPr="003707B4">
                    <w:rPr>
                      <w:rFonts w:ascii="Arial" w:eastAsiaTheme="minorHAnsi" w:hAnsi="Arial" w:cs="Arial"/>
                      <w:b/>
                      <w:spacing w:val="-2"/>
                      <w:sz w:val="20"/>
                      <w:szCs w:val="20"/>
                    </w:rPr>
                    <w:t>value</w:t>
                  </w:r>
                  <w:r w:rsidRPr="003707B4">
                    <w:rPr>
                      <w:rFonts w:ascii="Arial" w:eastAsiaTheme="minorHAnsi" w:hAnsi="Arial" w:cs="Arial"/>
                      <w:b/>
                      <w:spacing w:val="1"/>
                      <w:sz w:val="20"/>
                      <w:szCs w:val="20"/>
                    </w:rPr>
                    <w:t xml:space="preserve"> </w:t>
                  </w:r>
                  <w:r w:rsidRPr="003707B4">
                    <w:rPr>
                      <w:rFonts w:ascii="Arial" w:eastAsiaTheme="minorHAnsi" w:hAnsi="Arial" w:cs="Arial"/>
                      <w:b/>
                      <w:sz w:val="20"/>
                      <w:szCs w:val="20"/>
                    </w:rPr>
                    <w:t>of</w:t>
                  </w:r>
                  <w:r w:rsidRPr="003707B4">
                    <w:rPr>
                      <w:rFonts w:ascii="Arial" w:eastAsiaTheme="minorHAnsi" w:hAnsi="Arial" w:cs="Arial"/>
                      <w:b/>
                      <w:spacing w:val="-1"/>
                      <w:sz w:val="20"/>
                      <w:szCs w:val="20"/>
                    </w:rPr>
                    <w:t xml:space="preserve"> </w:t>
                  </w:r>
                  <w:r w:rsidRPr="003707B4">
                    <w:rPr>
                      <w:rFonts w:ascii="Arial" w:eastAsiaTheme="minorHAnsi" w:hAnsi="Arial" w:cs="Arial"/>
                      <w:b/>
                      <w:sz w:val="20"/>
                      <w:szCs w:val="20"/>
                    </w:rPr>
                    <w:t>the</w:t>
                  </w:r>
                  <w:r w:rsidRPr="003707B4">
                    <w:rPr>
                      <w:rFonts w:ascii="Arial" w:eastAsiaTheme="minorHAnsi" w:hAnsi="Arial" w:cs="Arial"/>
                      <w:b/>
                      <w:spacing w:val="25"/>
                      <w:sz w:val="20"/>
                      <w:szCs w:val="20"/>
                    </w:rPr>
                    <w:t xml:space="preserve"> </w:t>
                  </w:r>
                  <w:r w:rsidRPr="003707B4">
                    <w:rPr>
                      <w:rFonts w:ascii="Arial" w:eastAsiaTheme="minorHAnsi" w:hAnsi="Arial" w:cs="Arial"/>
                      <w:b/>
                      <w:spacing w:val="-1"/>
                      <w:sz w:val="20"/>
                      <w:szCs w:val="20"/>
                    </w:rPr>
                    <w:t>awards</w:t>
                  </w:r>
                </w:p>
              </w:tc>
            </w:tr>
            <w:tr w:rsidR="003707B4" w:rsidRPr="003707B4" w:rsidTr="0045072E">
              <w:trPr>
                <w:trHeight w:hRule="exact" w:val="581"/>
              </w:trPr>
              <w:tc>
                <w:tcPr>
                  <w:tcW w:w="3827"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ind w:left="102"/>
                    <w:rPr>
                      <w:rFonts w:ascii="Arial" w:eastAsia="Arial" w:hAnsi="Arial" w:cs="Arial"/>
                      <w:sz w:val="20"/>
                      <w:szCs w:val="20"/>
                    </w:rPr>
                  </w:pPr>
                  <w:r w:rsidRPr="003707B4">
                    <w:rPr>
                      <w:rFonts w:ascii="Arial" w:eastAsia="Arial" w:hAnsi="Arial" w:cs="Arial"/>
                      <w:sz w:val="20"/>
                      <w:szCs w:val="20"/>
                    </w:rPr>
                    <w:t xml:space="preserve">R1 – </w:t>
                  </w:r>
                  <w:r w:rsidRPr="003707B4">
                    <w:rPr>
                      <w:rFonts w:ascii="Arial" w:eastAsia="Arial" w:hAnsi="Arial" w:cs="Arial"/>
                      <w:spacing w:val="-2"/>
                      <w:sz w:val="20"/>
                      <w:szCs w:val="20"/>
                    </w:rPr>
                    <w:t>R200 000.00</w:t>
                  </w:r>
                  <w:r w:rsidR="006342EB">
                    <w:rPr>
                      <w:rFonts w:ascii="Arial" w:eastAsia="Arial" w:hAnsi="Arial" w:cs="Arial"/>
                      <w:spacing w:val="-2"/>
                      <w:sz w:val="20"/>
                      <w:szCs w:val="20"/>
                    </w:rPr>
                    <w:t xml:space="preserve"> ( January </w:t>
                  </w:r>
                  <w:r w:rsidRPr="00E62ADC">
                    <w:rPr>
                      <w:rFonts w:ascii="Arial" w:eastAsia="Arial" w:hAnsi="Arial" w:cs="Arial"/>
                      <w:spacing w:val="-2"/>
                      <w:sz w:val="20"/>
                      <w:szCs w:val="20"/>
                    </w:rPr>
                    <w:t xml:space="preserve"> </w:t>
                  </w:r>
                  <w:r w:rsidR="006342EB">
                    <w:rPr>
                      <w:rFonts w:ascii="Arial" w:eastAsia="Arial" w:hAnsi="Arial" w:cs="Arial"/>
                      <w:spacing w:val="-2"/>
                      <w:sz w:val="20"/>
                      <w:szCs w:val="20"/>
                    </w:rPr>
                    <w:t>2022</w:t>
                  </w:r>
                  <w:r w:rsidRPr="003707B4">
                    <w:rPr>
                      <w:rFonts w:ascii="Arial" w:eastAsia="Arial" w:hAnsi="Arial" w:cs="Arial"/>
                      <w:spacing w:val="-2"/>
                      <w:sz w:val="20"/>
                      <w:szCs w:val="20"/>
                    </w:rPr>
                    <w:t>)</w:t>
                  </w:r>
                </w:p>
              </w:tc>
              <w:tc>
                <w:tcPr>
                  <w:tcW w:w="198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rPr>
                      <w:rFonts w:ascii="Arial" w:eastAsia="Arial" w:hAnsi="Arial" w:cs="Arial"/>
                      <w:sz w:val="20"/>
                      <w:szCs w:val="20"/>
                    </w:rPr>
                  </w:pPr>
                  <w:r w:rsidRPr="003707B4">
                    <w:rPr>
                      <w:rFonts w:ascii="Arial" w:eastAsia="Arial" w:hAnsi="Arial" w:cs="Arial"/>
                      <w:sz w:val="20"/>
                      <w:szCs w:val="20"/>
                    </w:rPr>
                    <w:t xml:space="preserve">      </w:t>
                  </w:r>
                  <w:r w:rsidR="006342EB">
                    <w:rPr>
                      <w:rFonts w:ascii="Arial" w:eastAsia="Arial" w:hAnsi="Arial" w:cs="Arial"/>
                      <w:sz w:val="20"/>
                      <w:szCs w:val="20"/>
                    </w:rPr>
                    <w:t xml:space="preserve">   19</w:t>
                  </w:r>
                </w:p>
              </w:tc>
              <w:tc>
                <w:tcPr>
                  <w:tcW w:w="269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rPr>
                      <w:rFonts w:ascii="Arial" w:eastAsia="Arial" w:hAnsi="Arial" w:cs="Arial"/>
                      <w:sz w:val="20"/>
                      <w:szCs w:val="20"/>
                    </w:rPr>
                  </w:pPr>
                  <w:r w:rsidRPr="003707B4">
                    <w:rPr>
                      <w:rFonts w:ascii="Arial" w:eastAsia="Arial" w:hAnsi="Arial" w:cs="Arial"/>
                      <w:sz w:val="20"/>
                      <w:szCs w:val="20"/>
                    </w:rPr>
                    <w:t xml:space="preserve">  R</w:t>
                  </w:r>
                  <w:r w:rsidR="006342EB">
                    <w:rPr>
                      <w:rFonts w:ascii="Arial" w:eastAsia="Arial" w:hAnsi="Arial" w:cs="Arial"/>
                      <w:sz w:val="20"/>
                      <w:szCs w:val="20"/>
                    </w:rPr>
                    <w:t xml:space="preserve"> 4 264 260.40</w:t>
                  </w:r>
                </w:p>
                <w:p w:rsidR="003707B4" w:rsidRPr="003707B4" w:rsidRDefault="003707B4" w:rsidP="003707B4">
                  <w:pPr>
                    <w:widowControl w:val="0"/>
                    <w:spacing w:after="0" w:line="250" w:lineRule="exact"/>
                    <w:ind w:left="102"/>
                    <w:rPr>
                      <w:rFonts w:ascii="Arial" w:eastAsia="Arial" w:hAnsi="Arial" w:cs="Arial"/>
                      <w:sz w:val="20"/>
                      <w:szCs w:val="20"/>
                    </w:rPr>
                  </w:pPr>
                </w:p>
              </w:tc>
            </w:tr>
            <w:tr w:rsidR="003707B4" w:rsidRPr="003707B4" w:rsidTr="0045072E">
              <w:trPr>
                <w:trHeight w:hRule="exact" w:val="421"/>
              </w:trPr>
              <w:tc>
                <w:tcPr>
                  <w:tcW w:w="3827"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rPr>
                      <w:rFonts w:ascii="Arial" w:eastAsia="Arial" w:hAnsi="Arial" w:cs="Arial"/>
                      <w:sz w:val="20"/>
                      <w:szCs w:val="20"/>
                    </w:rPr>
                  </w:pPr>
                  <w:r w:rsidRPr="003707B4">
                    <w:rPr>
                      <w:rFonts w:ascii="Arial" w:eastAsia="Arial" w:hAnsi="Arial" w:cs="Arial"/>
                      <w:sz w:val="20"/>
                      <w:szCs w:val="20"/>
                    </w:rPr>
                    <w:t xml:space="preserve">  R1 – </w:t>
                  </w:r>
                  <w:r w:rsidRPr="003707B4">
                    <w:rPr>
                      <w:rFonts w:ascii="Arial" w:eastAsia="Arial" w:hAnsi="Arial" w:cs="Arial"/>
                      <w:spacing w:val="-2"/>
                      <w:sz w:val="20"/>
                      <w:szCs w:val="20"/>
                    </w:rPr>
                    <w:t>R200 000.00</w:t>
                  </w:r>
                  <w:r w:rsidR="006342EB">
                    <w:rPr>
                      <w:rFonts w:ascii="Arial" w:eastAsia="Arial" w:hAnsi="Arial" w:cs="Arial"/>
                      <w:spacing w:val="-2"/>
                      <w:sz w:val="20"/>
                      <w:szCs w:val="20"/>
                    </w:rPr>
                    <w:t xml:space="preserve"> ( February 2022</w:t>
                  </w:r>
                  <w:r w:rsidRPr="003707B4">
                    <w:rPr>
                      <w:rFonts w:ascii="Arial" w:eastAsia="Arial" w:hAnsi="Arial" w:cs="Arial"/>
                      <w:spacing w:val="-2"/>
                      <w:sz w:val="20"/>
                      <w:szCs w:val="20"/>
                    </w:rPr>
                    <w:t>)</w:t>
                  </w:r>
                </w:p>
              </w:tc>
              <w:tc>
                <w:tcPr>
                  <w:tcW w:w="198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6342EB" w:rsidP="003707B4">
                  <w:pPr>
                    <w:widowControl w:val="0"/>
                    <w:spacing w:after="0" w:line="250" w:lineRule="exact"/>
                    <w:rPr>
                      <w:rFonts w:ascii="Arial" w:eastAsia="Arial" w:hAnsi="Arial" w:cs="Arial"/>
                      <w:sz w:val="20"/>
                      <w:szCs w:val="20"/>
                    </w:rPr>
                  </w:pPr>
                  <w:r>
                    <w:rPr>
                      <w:rFonts w:ascii="Arial" w:eastAsia="Arial" w:hAnsi="Arial" w:cs="Arial"/>
                      <w:sz w:val="20"/>
                      <w:szCs w:val="20"/>
                    </w:rPr>
                    <w:t xml:space="preserve">         15</w:t>
                  </w:r>
                </w:p>
              </w:tc>
              <w:tc>
                <w:tcPr>
                  <w:tcW w:w="269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rPr>
                      <w:rFonts w:ascii="Arial" w:eastAsia="Arial" w:hAnsi="Arial" w:cs="Arial"/>
                      <w:sz w:val="20"/>
                      <w:szCs w:val="20"/>
                    </w:rPr>
                  </w:pPr>
                  <w:r w:rsidRPr="003707B4">
                    <w:rPr>
                      <w:rFonts w:ascii="Arial" w:eastAsia="Arial" w:hAnsi="Arial" w:cs="Arial"/>
                      <w:sz w:val="20"/>
                      <w:szCs w:val="20"/>
                    </w:rPr>
                    <w:t xml:space="preserve">  R </w:t>
                  </w:r>
                  <w:r w:rsidR="006342EB">
                    <w:rPr>
                      <w:rFonts w:ascii="Arial" w:eastAsia="Arial" w:hAnsi="Arial" w:cs="Arial"/>
                      <w:sz w:val="20"/>
                      <w:szCs w:val="20"/>
                    </w:rPr>
                    <w:t>956 913.30</w:t>
                  </w:r>
                </w:p>
              </w:tc>
            </w:tr>
            <w:tr w:rsidR="003707B4" w:rsidRPr="003707B4" w:rsidTr="0045072E">
              <w:trPr>
                <w:trHeight w:hRule="exact" w:val="722"/>
              </w:trPr>
              <w:tc>
                <w:tcPr>
                  <w:tcW w:w="3827"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ind w:left="102"/>
                    <w:rPr>
                      <w:rFonts w:ascii="Arial" w:eastAsia="Arial" w:hAnsi="Arial" w:cs="Arial"/>
                      <w:sz w:val="20"/>
                      <w:szCs w:val="20"/>
                    </w:rPr>
                  </w:pPr>
                  <w:r w:rsidRPr="003707B4">
                    <w:rPr>
                      <w:rFonts w:ascii="Arial" w:eastAsia="Arial" w:hAnsi="Arial" w:cs="Arial"/>
                      <w:sz w:val="20"/>
                      <w:szCs w:val="20"/>
                    </w:rPr>
                    <w:t xml:space="preserve">R1 – </w:t>
                  </w:r>
                  <w:r w:rsidRPr="003707B4">
                    <w:rPr>
                      <w:rFonts w:ascii="Arial" w:eastAsia="Arial" w:hAnsi="Arial" w:cs="Arial"/>
                      <w:spacing w:val="-2"/>
                      <w:sz w:val="20"/>
                      <w:szCs w:val="20"/>
                    </w:rPr>
                    <w:t>R200 000.00</w:t>
                  </w:r>
                  <w:r w:rsidR="006342EB">
                    <w:rPr>
                      <w:rFonts w:ascii="Arial" w:eastAsia="Arial" w:hAnsi="Arial" w:cs="Arial"/>
                      <w:spacing w:val="-2"/>
                      <w:sz w:val="20"/>
                      <w:szCs w:val="20"/>
                    </w:rPr>
                    <w:t xml:space="preserve"> ( March  2022</w:t>
                  </w:r>
                  <w:r w:rsidRPr="003707B4">
                    <w:rPr>
                      <w:rFonts w:ascii="Arial" w:eastAsia="Arial" w:hAnsi="Arial" w:cs="Arial"/>
                      <w:spacing w:val="-2"/>
                      <w:sz w:val="20"/>
                      <w:szCs w:val="20"/>
                    </w:rPr>
                    <w:t>)</w:t>
                  </w:r>
                </w:p>
              </w:tc>
              <w:tc>
                <w:tcPr>
                  <w:tcW w:w="198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6342EB" w:rsidP="003707B4">
                  <w:pPr>
                    <w:widowControl w:val="0"/>
                    <w:spacing w:after="0" w:line="250" w:lineRule="exact"/>
                    <w:rPr>
                      <w:rFonts w:ascii="Arial" w:eastAsia="Arial" w:hAnsi="Arial" w:cs="Arial"/>
                      <w:sz w:val="20"/>
                      <w:szCs w:val="20"/>
                    </w:rPr>
                  </w:pPr>
                  <w:r>
                    <w:rPr>
                      <w:rFonts w:ascii="Arial" w:eastAsia="Arial" w:hAnsi="Arial" w:cs="Arial"/>
                      <w:sz w:val="20"/>
                      <w:szCs w:val="20"/>
                    </w:rPr>
                    <w:t xml:space="preserve">         42</w:t>
                  </w:r>
                </w:p>
              </w:tc>
              <w:tc>
                <w:tcPr>
                  <w:tcW w:w="269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6342EB" w:rsidP="003707B4">
                  <w:pPr>
                    <w:widowControl w:val="0"/>
                    <w:spacing w:after="0" w:line="250" w:lineRule="exact"/>
                    <w:rPr>
                      <w:rFonts w:ascii="Arial" w:eastAsia="Arial" w:hAnsi="Arial" w:cs="Arial"/>
                      <w:sz w:val="20"/>
                      <w:szCs w:val="20"/>
                    </w:rPr>
                  </w:pPr>
                  <w:r>
                    <w:rPr>
                      <w:rFonts w:ascii="Arial" w:eastAsia="Arial" w:hAnsi="Arial" w:cs="Arial"/>
                      <w:sz w:val="20"/>
                      <w:szCs w:val="20"/>
                    </w:rPr>
                    <w:t xml:space="preserve">  R 2 824 803.42</w:t>
                  </w:r>
                </w:p>
              </w:tc>
            </w:tr>
            <w:tr w:rsidR="003707B4" w:rsidRPr="003707B4" w:rsidTr="0045072E">
              <w:trPr>
                <w:trHeight w:hRule="exact" w:val="421"/>
              </w:trPr>
              <w:tc>
                <w:tcPr>
                  <w:tcW w:w="3827"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ind w:left="102"/>
                    <w:rPr>
                      <w:rFonts w:ascii="Arial" w:eastAsia="Arial" w:hAnsi="Arial" w:cs="Arial"/>
                      <w:sz w:val="20"/>
                      <w:szCs w:val="20"/>
                    </w:rPr>
                  </w:pPr>
                </w:p>
              </w:tc>
              <w:tc>
                <w:tcPr>
                  <w:tcW w:w="198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rPr>
                      <w:rFonts w:ascii="Arial" w:eastAsia="Arial" w:hAnsi="Arial" w:cs="Arial"/>
                      <w:sz w:val="20"/>
                      <w:szCs w:val="20"/>
                    </w:rPr>
                  </w:pPr>
                  <w:r w:rsidRPr="003707B4">
                    <w:rPr>
                      <w:rFonts w:ascii="Arial" w:eastAsia="Arial" w:hAnsi="Arial" w:cs="Arial"/>
                      <w:sz w:val="20"/>
                      <w:szCs w:val="20"/>
                    </w:rPr>
                    <w:t xml:space="preserve">         </w:t>
                  </w:r>
                  <w:r w:rsidR="00EE3EC3">
                    <w:rPr>
                      <w:rFonts w:ascii="Arial" w:eastAsia="Arial" w:hAnsi="Arial" w:cs="Arial"/>
                      <w:sz w:val="20"/>
                      <w:szCs w:val="20"/>
                    </w:rPr>
                    <w:t>76</w:t>
                  </w:r>
                </w:p>
              </w:tc>
              <w:tc>
                <w:tcPr>
                  <w:tcW w:w="2694" w:type="dxa"/>
                  <w:tcBorders>
                    <w:top w:val="single" w:sz="8" w:space="0" w:color="000000"/>
                    <w:left w:val="single" w:sz="5" w:space="0" w:color="000000"/>
                    <w:bottom w:val="single" w:sz="8" w:space="0" w:color="000000"/>
                    <w:right w:val="single" w:sz="5" w:space="0" w:color="000000"/>
                  </w:tcBorders>
                  <w:shd w:val="clear" w:color="auto" w:fill="auto"/>
                </w:tcPr>
                <w:p w:rsidR="003707B4" w:rsidRPr="003707B4" w:rsidRDefault="003707B4" w:rsidP="003707B4">
                  <w:pPr>
                    <w:widowControl w:val="0"/>
                    <w:spacing w:after="0" w:line="250" w:lineRule="exact"/>
                    <w:rPr>
                      <w:rFonts w:ascii="Arial" w:eastAsia="Arial" w:hAnsi="Arial" w:cs="Arial"/>
                      <w:sz w:val="20"/>
                      <w:szCs w:val="20"/>
                    </w:rPr>
                  </w:pPr>
                  <w:r w:rsidRPr="003707B4">
                    <w:rPr>
                      <w:rFonts w:ascii="Arial" w:eastAsia="Arial" w:hAnsi="Arial" w:cs="Arial"/>
                      <w:sz w:val="20"/>
                      <w:szCs w:val="20"/>
                    </w:rPr>
                    <w:t xml:space="preserve">  </w:t>
                  </w:r>
                  <w:r w:rsidR="006342EB" w:rsidRPr="006342EB">
                    <w:rPr>
                      <w:rFonts w:ascii="Arial" w:eastAsia="Arial Unicode MS" w:hAnsi="Arial" w:cs="Arial"/>
                      <w:b/>
                      <w:sz w:val="20"/>
                      <w:szCs w:val="20"/>
                    </w:rPr>
                    <w:t xml:space="preserve"> R8 045 977,12</w:t>
                  </w:r>
                </w:p>
              </w:tc>
            </w:tr>
          </w:tbl>
          <w:p w:rsidR="003707B4" w:rsidRPr="00E62ADC" w:rsidRDefault="003707B4" w:rsidP="003707B4">
            <w:pPr>
              <w:spacing w:before="2" w:line="259" w:lineRule="auto"/>
              <w:rPr>
                <w:rFonts w:ascii="Arial" w:eastAsia="Arial" w:hAnsi="Arial" w:cs="Arial"/>
                <w:sz w:val="20"/>
                <w:szCs w:val="20"/>
                <w:lang w:val="en-ZA"/>
              </w:rPr>
            </w:pPr>
          </w:p>
          <w:p w:rsidR="00A649D3" w:rsidRPr="00A649D3" w:rsidRDefault="00A649D3" w:rsidP="00D024A8">
            <w:pPr>
              <w:spacing w:before="2" w:line="360" w:lineRule="auto"/>
              <w:ind w:left="137" w:hanging="426"/>
              <w:jc w:val="both"/>
              <w:rPr>
                <w:rFonts w:ascii="Arial" w:eastAsia="Arial" w:hAnsi="Arial" w:cs="Arial"/>
                <w:sz w:val="20"/>
                <w:szCs w:val="20"/>
                <w:lang w:val="en-ZA"/>
              </w:rPr>
            </w:pPr>
            <w:r w:rsidRPr="00E62ADC">
              <w:rPr>
                <w:rFonts w:ascii="Arial" w:eastAsia="Arial" w:hAnsi="Arial" w:cs="Arial"/>
                <w:sz w:val="20"/>
                <w:szCs w:val="20"/>
                <w:lang w:val="en-ZA"/>
              </w:rPr>
              <w:t xml:space="preserve">    </w:t>
            </w:r>
            <w:r w:rsidR="00D024A8">
              <w:rPr>
                <w:rFonts w:ascii="Arial" w:eastAsia="Arial" w:hAnsi="Arial" w:cs="Arial"/>
                <w:sz w:val="20"/>
                <w:szCs w:val="20"/>
                <w:lang w:val="en-ZA"/>
              </w:rPr>
              <w:t xml:space="preserve"> </w:t>
            </w:r>
            <w:r w:rsidRPr="00E62ADC">
              <w:rPr>
                <w:rFonts w:ascii="Arial" w:eastAsia="Arial" w:hAnsi="Arial" w:cs="Arial"/>
                <w:sz w:val="20"/>
                <w:szCs w:val="20"/>
                <w:lang w:val="en-ZA"/>
              </w:rPr>
              <w:t xml:space="preserve">  </w:t>
            </w:r>
            <w:r w:rsidRPr="00A649D3">
              <w:rPr>
                <w:rFonts w:ascii="Arial" w:eastAsia="Arial" w:hAnsi="Arial" w:cs="Arial"/>
                <w:sz w:val="20"/>
                <w:szCs w:val="20"/>
                <w:lang w:val="en-ZA"/>
              </w:rPr>
              <w:t>The following suppliers were the biggest contributors to the expenditure incurred (procurement through public notices of seven days and some which were done through  Competi</w:t>
            </w:r>
            <w:r w:rsidR="00D024A8">
              <w:rPr>
                <w:rFonts w:ascii="Arial" w:eastAsia="Arial" w:hAnsi="Arial" w:cs="Arial"/>
                <w:sz w:val="20"/>
                <w:szCs w:val="20"/>
                <w:lang w:val="en-ZA"/>
              </w:rPr>
              <w:t>tive Bidding Process processes</w:t>
            </w:r>
            <w:r w:rsidRPr="00A649D3">
              <w:rPr>
                <w:rFonts w:ascii="Arial" w:eastAsia="Arial" w:hAnsi="Arial" w:cs="Arial"/>
                <w:sz w:val="20"/>
                <w:szCs w:val="20"/>
                <w:lang w:val="en-ZA"/>
              </w:rPr>
              <w:t xml:space="preserve">) </w:t>
            </w:r>
            <w:r w:rsidR="009029F6">
              <w:rPr>
                <w:rFonts w:ascii="Arial" w:eastAsia="Arial" w:hAnsi="Arial" w:cs="Arial"/>
                <w:sz w:val="20"/>
                <w:szCs w:val="20"/>
                <w:lang w:val="en-ZA"/>
              </w:rPr>
              <w:t>.</w:t>
            </w:r>
          </w:p>
          <w:p w:rsidR="00A649D3" w:rsidRPr="00A649D3" w:rsidRDefault="00EE3EC3" w:rsidP="00A649D3">
            <w:pPr>
              <w:widowControl w:val="0"/>
              <w:numPr>
                <w:ilvl w:val="0"/>
                <w:numId w:val="2"/>
              </w:numPr>
              <w:spacing w:before="2" w:after="0" w:line="360" w:lineRule="auto"/>
              <w:jc w:val="both"/>
              <w:rPr>
                <w:rFonts w:ascii="Arial" w:eastAsia="Arial" w:hAnsi="Arial" w:cs="Arial"/>
                <w:sz w:val="20"/>
                <w:szCs w:val="20"/>
              </w:rPr>
            </w:pPr>
            <w:r>
              <w:rPr>
                <w:rFonts w:ascii="Arial" w:eastAsia="Arial" w:hAnsi="Arial" w:cs="Arial"/>
                <w:sz w:val="20"/>
                <w:szCs w:val="20"/>
              </w:rPr>
              <w:t xml:space="preserve">Zitho Travel  – All Department ( Accommodation and Flights) </w:t>
            </w:r>
            <w:r w:rsidR="00A649D3" w:rsidRPr="00A649D3">
              <w:rPr>
                <w:rFonts w:ascii="Arial" w:eastAsia="Arial" w:hAnsi="Arial" w:cs="Arial"/>
                <w:sz w:val="20"/>
                <w:szCs w:val="20"/>
              </w:rPr>
              <w:t xml:space="preserve"> </w:t>
            </w:r>
          </w:p>
          <w:p w:rsidR="00A649D3" w:rsidRPr="00A649D3" w:rsidRDefault="00A649D3" w:rsidP="00A649D3">
            <w:pPr>
              <w:widowControl w:val="0"/>
              <w:numPr>
                <w:ilvl w:val="0"/>
                <w:numId w:val="2"/>
              </w:numPr>
              <w:spacing w:before="2" w:after="0" w:line="360" w:lineRule="auto"/>
              <w:jc w:val="both"/>
              <w:rPr>
                <w:rFonts w:ascii="Arial" w:eastAsia="Arial" w:hAnsi="Arial" w:cs="Arial"/>
                <w:sz w:val="20"/>
                <w:szCs w:val="20"/>
              </w:rPr>
            </w:pPr>
            <w:r w:rsidRPr="00A649D3">
              <w:rPr>
                <w:rFonts w:ascii="Arial" w:eastAsia="Arial" w:hAnsi="Arial" w:cs="Arial"/>
                <w:sz w:val="20"/>
                <w:szCs w:val="20"/>
              </w:rPr>
              <w:t xml:space="preserve">Data Box Technologies – Human Resource Management  </w:t>
            </w:r>
          </w:p>
          <w:p w:rsidR="00A649D3" w:rsidRPr="00A649D3" w:rsidRDefault="007237B9" w:rsidP="00A649D3">
            <w:pPr>
              <w:widowControl w:val="0"/>
              <w:numPr>
                <w:ilvl w:val="0"/>
                <w:numId w:val="2"/>
              </w:numPr>
              <w:spacing w:before="2" w:after="0" w:line="360" w:lineRule="auto"/>
              <w:jc w:val="both"/>
              <w:rPr>
                <w:rFonts w:ascii="Arial" w:eastAsia="Arial" w:hAnsi="Arial" w:cs="Arial"/>
                <w:sz w:val="20"/>
                <w:szCs w:val="20"/>
              </w:rPr>
            </w:pPr>
            <w:r>
              <w:rPr>
                <w:rFonts w:ascii="Arial" w:eastAsia="Arial" w:hAnsi="Arial" w:cs="Arial"/>
                <w:sz w:val="20"/>
                <w:szCs w:val="20"/>
              </w:rPr>
              <w:t xml:space="preserve">EM </w:t>
            </w:r>
            <w:r w:rsidR="00EE3EC3">
              <w:rPr>
                <w:rFonts w:ascii="Arial" w:eastAsia="Arial" w:hAnsi="Arial" w:cs="Arial"/>
                <w:sz w:val="20"/>
                <w:szCs w:val="20"/>
              </w:rPr>
              <w:t xml:space="preserve">Skhosi </w:t>
            </w:r>
            <w:r>
              <w:rPr>
                <w:rFonts w:ascii="Arial" w:eastAsia="Arial" w:hAnsi="Arial" w:cs="Arial"/>
                <w:sz w:val="20"/>
                <w:szCs w:val="20"/>
              </w:rPr>
              <w:t xml:space="preserve">– Social Development  </w:t>
            </w:r>
          </w:p>
          <w:p w:rsidR="00A649D3" w:rsidRPr="00A649D3" w:rsidRDefault="007237B9" w:rsidP="00A649D3">
            <w:pPr>
              <w:widowControl w:val="0"/>
              <w:numPr>
                <w:ilvl w:val="0"/>
                <w:numId w:val="2"/>
              </w:numPr>
              <w:spacing w:before="2" w:after="0" w:line="360" w:lineRule="auto"/>
              <w:jc w:val="both"/>
              <w:rPr>
                <w:rFonts w:ascii="Arial" w:eastAsia="Arial" w:hAnsi="Arial" w:cs="Arial"/>
                <w:sz w:val="20"/>
                <w:szCs w:val="20"/>
              </w:rPr>
            </w:pPr>
            <w:r>
              <w:rPr>
                <w:rFonts w:ascii="Arial" w:eastAsia="Arial" w:hAnsi="Arial" w:cs="Arial"/>
                <w:sz w:val="20"/>
                <w:szCs w:val="20"/>
              </w:rPr>
              <w:t xml:space="preserve">Hatfield Holdings (Pty) Ltd </w:t>
            </w:r>
            <w:r w:rsidR="00A649D3" w:rsidRPr="00A649D3">
              <w:rPr>
                <w:rFonts w:ascii="Arial" w:eastAsia="Arial" w:hAnsi="Arial" w:cs="Arial"/>
                <w:sz w:val="20"/>
                <w:szCs w:val="20"/>
              </w:rPr>
              <w:t xml:space="preserve">  – Fleet Management </w:t>
            </w:r>
          </w:p>
          <w:p w:rsidR="00A649D3" w:rsidRPr="00A649D3" w:rsidRDefault="007237B9" w:rsidP="00A649D3">
            <w:pPr>
              <w:widowControl w:val="0"/>
              <w:numPr>
                <w:ilvl w:val="0"/>
                <w:numId w:val="2"/>
              </w:numPr>
              <w:spacing w:before="2" w:after="0" w:line="360" w:lineRule="auto"/>
              <w:jc w:val="both"/>
              <w:rPr>
                <w:rFonts w:ascii="Arial" w:eastAsia="Arial" w:hAnsi="Arial" w:cs="Arial"/>
                <w:sz w:val="20"/>
                <w:szCs w:val="20"/>
              </w:rPr>
            </w:pPr>
            <w:r>
              <w:rPr>
                <w:rFonts w:ascii="Arial" w:eastAsia="Arial" w:hAnsi="Arial" w:cs="Arial"/>
                <w:sz w:val="20"/>
                <w:szCs w:val="20"/>
              </w:rPr>
              <w:t xml:space="preserve">Spek Solutions  – Fleet Management </w:t>
            </w:r>
          </w:p>
          <w:p w:rsidR="00A649D3" w:rsidRPr="00A649D3" w:rsidRDefault="007237B9" w:rsidP="00A649D3">
            <w:pPr>
              <w:widowControl w:val="0"/>
              <w:numPr>
                <w:ilvl w:val="0"/>
                <w:numId w:val="2"/>
              </w:numPr>
              <w:spacing w:before="2" w:after="0" w:line="360" w:lineRule="auto"/>
              <w:jc w:val="both"/>
              <w:rPr>
                <w:rFonts w:ascii="Arial" w:eastAsia="Arial" w:hAnsi="Arial" w:cs="Arial"/>
                <w:sz w:val="20"/>
                <w:szCs w:val="20"/>
              </w:rPr>
            </w:pPr>
            <w:r>
              <w:rPr>
                <w:rFonts w:ascii="Arial" w:eastAsia="Arial" w:hAnsi="Arial" w:cs="Arial"/>
                <w:sz w:val="20"/>
                <w:szCs w:val="20"/>
              </w:rPr>
              <w:t xml:space="preserve">Salani Group – Technical Services </w:t>
            </w:r>
            <w:r w:rsidR="00A649D3" w:rsidRPr="00A649D3">
              <w:rPr>
                <w:rFonts w:ascii="Arial" w:eastAsia="Arial" w:hAnsi="Arial" w:cs="Arial"/>
                <w:sz w:val="20"/>
                <w:szCs w:val="20"/>
              </w:rPr>
              <w:t xml:space="preserve">  </w:t>
            </w:r>
          </w:p>
          <w:p w:rsidR="00A649D3" w:rsidRPr="00A649D3" w:rsidRDefault="007237B9" w:rsidP="00A649D3">
            <w:pPr>
              <w:widowControl w:val="0"/>
              <w:numPr>
                <w:ilvl w:val="0"/>
                <w:numId w:val="2"/>
              </w:numPr>
              <w:spacing w:before="2" w:after="0" w:line="360" w:lineRule="auto"/>
              <w:jc w:val="both"/>
              <w:rPr>
                <w:rFonts w:ascii="Arial" w:eastAsia="Arial" w:hAnsi="Arial" w:cs="Arial"/>
                <w:sz w:val="20"/>
                <w:szCs w:val="20"/>
              </w:rPr>
            </w:pPr>
            <w:r>
              <w:rPr>
                <w:rFonts w:ascii="Arial" w:eastAsia="Arial" w:hAnsi="Arial" w:cs="Arial"/>
                <w:sz w:val="20"/>
                <w:szCs w:val="20"/>
              </w:rPr>
              <w:t xml:space="preserve">Siyafana Thina Trading  – Fleet Management </w:t>
            </w:r>
          </w:p>
          <w:p w:rsidR="00A649D3" w:rsidRPr="00A649D3" w:rsidRDefault="007237B9" w:rsidP="00A649D3">
            <w:pPr>
              <w:widowControl w:val="0"/>
              <w:numPr>
                <w:ilvl w:val="0"/>
                <w:numId w:val="2"/>
              </w:numPr>
              <w:spacing w:before="2" w:after="0" w:line="360" w:lineRule="auto"/>
              <w:jc w:val="both"/>
              <w:rPr>
                <w:rFonts w:ascii="Arial" w:eastAsia="Arial" w:hAnsi="Arial" w:cs="Arial"/>
                <w:sz w:val="20"/>
                <w:szCs w:val="20"/>
              </w:rPr>
            </w:pPr>
            <w:r>
              <w:rPr>
                <w:rFonts w:ascii="Arial" w:eastAsia="Arial" w:hAnsi="Arial" w:cs="Arial"/>
                <w:sz w:val="20"/>
                <w:szCs w:val="20"/>
              </w:rPr>
              <w:t>SSS Empire (Pty) Ltd  – Social</w:t>
            </w:r>
            <w:r w:rsidR="00A649D3" w:rsidRPr="00A649D3">
              <w:rPr>
                <w:rFonts w:ascii="Arial" w:eastAsia="Arial" w:hAnsi="Arial" w:cs="Arial"/>
                <w:sz w:val="20"/>
                <w:szCs w:val="20"/>
              </w:rPr>
              <w:t xml:space="preserve"> Services </w:t>
            </w:r>
          </w:p>
          <w:p w:rsidR="00A649D3" w:rsidRPr="00A649D3" w:rsidRDefault="007237B9" w:rsidP="00A649D3">
            <w:pPr>
              <w:widowControl w:val="0"/>
              <w:numPr>
                <w:ilvl w:val="0"/>
                <w:numId w:val="2"/>
              </w:numPr>
              <w:spacing w:before="2" w:after="0" w:line="360" w:lineRule="auto"/>
              <w:jc w:val="both"/>
              <w:rPr>
                <w:rFonts w:ascii="Arial" w:eastAsia="Arial" w:hAnsi="Arial" w:cs="Arial"/>
                <w:sz w:val="20"/>
                <w:szCs w:val="20"/>
              </w:rPr>
            </w:pPr>
            <w:r>
              <w:rPr>
                <w:rFonts w:ascii="Arial" w:eastAsia="Arial" w:hAnsi="Arial" w:cs="Arial"/>
                <w:sz w:val="20"/>
                <w:szCs w:val="20"/>
              </w:rPr>
              <w:t xml:space="preserve">Tradesmiths (Pty) Ltd – </w:t>
            </w:r>
            <w:r w:rsidR="00625BA2">
              <w:rPr>
                <w:rFonts w:ascii="Arial" w:eastAsia="Arial" w:hAnsi="Arial" w:cs="Arial"/>
                <w:sz w:val="20"/>
                <w:szCs w:val="20"/>
              </w:rPr>
              <w:t xml:space="preserve">Communications </w:t>
            </w:r>
          </w:p>
          <w:p w:rsidR="00A649D3" w:rsidRDefault="00625BA2" w:rsidP="00A649D3">
            <w:pPr>
              <w:widowControl w:val="0"/>
              <w:numPr>
                <w:ilvl w:val="0"/>
                <w:numId w:val="2"/>
              </w:numPr>
              <w:spacing w:before="2" w:after="0" w:line="360" w:lineRule="auto"/>
              <w:jc w:val="both"/>
              <w:rPr>
                <w:rFonts w:ascii="Arial" w:eastAsia="Arial" w:hAnsi="Arial" w:cs="Arial"/>
                <w:sz w:val="20"/>
                <w:szCs w:val="20"/>
              </w:rPr>
            </w:pPr>
            <w:r>
              <w:rPr>
                <w:rFonts w:ascii="Arial" w:eastAsia="Arial" w:hAnsi="Arial" w:cs="Arial"/>
                <w:sz w:val="20"/>
                <w:szCs w:val="20"/>
              </w:rPr>
              <w:t xml:space="preserve">Aser Printers CC – Communications </w:t>
            </w:r>
          </w:p>
          <w:p w:rsidR="009E21C0" w:rsidRDefault="009E21C0" w:rsidP="00A649D3">
            <w:pPr>
              <w:widowControl w:val="0"/>
              <w:numPr>
                <w:ilvl w:val="0"/>
                <w:numId w:val="2"/>
              </w:numPr>
              <w:spacing w:before="2" w:after="0" w:line="360" w:lineRule="auto"/>
              <w:jc w:val="both"/>
              <w:rPr>
                <w:rFonts w:ascii="Arial" w:eastAsia="Arial" w:hAnsi="Arial" w:cs="Arial"/>
                <w:sz w:val="20"/>
                <w:szCs w:val="20"/>
              </w:rPr>
            </w:pPr>
            <w:r>
              <w:rPr>
                <w:rFonts w:ascii="Arial" w:eastAsia="Arial" w:hAnsi="Arial" w:cs="Arial"/>
                <w:sz w:val="20"/>
                <w:szCs w:val="20"/>
              </w:rPr>
              <w:t xml:space="preserve">Weaponology Firearm Training –Social Services </w:t>
            </w:r>
          </w:p>
          <w:p w:rsidR="009E21C0" w:rsidRPr="00A649D3" w:rsidRDefault="009E21C0" w:rsidP="00A649D3">
            <w:pPr>
              <w:widowControl w:val="0"/>
              <w:numPr>
                <w:ilvl w:val="0"/>
                <w:numId w:val="2"/>
              </w:numPr>
              <w:spacing w:before="2" w:after="0" w:line="360" w:lineRule="auto"/>
              <w:jc w:val="both"/>
              <w:rPr>
                <w:rFonts w:ascii="Arial" w:eastAsia="Arial" w:hAnsi="Arial" w:cs="Arial"/>
                <w:sz w:val="20"/>
                <w:szCs w:val="20"/>
              </w:rPr>
            </w:pPr>
            <w:r>
              <w:rPr>
                <w:rFonts w:ascii="Arial" w:eastAsia="Arial" w:hAnsi="Arial" w:cs="Arial"/>
                <w:sz w:val="20"/>
                <w:szCs w:val="20"/>
              </w:rPr>
              <w:t xml:space="preserve">Eyasekhethe Building Construction –Technical Services </w:t>
            </w:r>
          </w:p>
          <w:p w:rsidR="00E62ADC" w:rsidRPr="00E62ADC" w:rsidRDefault="00E62ADC" w:rsidP="00A649D3">
            <w:pPr>
              <w:widowControl w:val="0"/>
              <w:spacing w:before="2" w:after="0" w:line="360" w:lineRule="auto"/>
              <w:ind w:left="-392"/>
              <w:jc w:val="both"/>
              <w:rPr>
                <w:rFonts w:ascii="Arial" w:eastAsia="Arial" w:hAnsi="Arial" w:cs="Arial"/>
                <w:sz w:val="20"/>
                <w:szCs w:val="20"/>
              </w:rPr>
            </w:pPr>
          </w:p>
          <w:p w:rsidR="00E62ADC" w:rsidRPr="00E62ADC" w:rsidRDefault="00E62ADC" w:rsidP="00A649D3">
            <w:pPr>
              <w:widowControl w:val="0"/>
              <w:spacing w:before="2" w:after="0" w:line="360" w:lineRule="auto"/>
              <w:ind w:left="-392"/>
              <w:jc w:val="both"/>
              <w:rPr>
                <w:rFonts w:ascii="Arial" w:eastAsia="Arial" w:hAnsi="Arial" w:cs="Arial"/>
                <w:sz w:val="20"/>
                <w:szCs w:val="20"/>
              </w:rPr>
            </w:pPr>
          </w:p>
          <w:p w:rsidR="00E62ADC" w:rsidRDefault="00E62ADC" w:rsidP="00A649D3">
            <w:pPr>
              <w:widowControl w:val="0"/>
              <w:spacing w:before="2" w:after="0" w:line="360" w:lineRule="auto"/>
              <w:ind w:left="-392"/>
              <w:jc w:val="both"/>
              <w:rPr>
                <w:rFonts w:ascii="Arial" w:eastAsia="Arial" w:hAnsi="Arial" w:cs="Arial"/>
                <w:sz w:val="20"/>
                <w:szCs w:val="20"/>
              </w:rPr>
            </w:pPr>
          </w:p>
          <w:p w:rsidR="009E21C0" w:rsidRDefault="009E21C0" w:rsidP="00A649D3">
            <w:pPr>
              <w:widowControl w:val="0"/>
              <w:spacing w:before="2" w:after="0" w:line="360" w:lineRule="auto"/>
              <w:ind w:left="-392"/>
              <w:jc w:val="both"/>
              <w:rPr>
                <w:rFonts w:ascii="Arial" w:eastAsia="Arial" w:hAnsi="Arial" w:cs="Arial"/>
                <w:sz w:val="20"/>
                <w:szCs w:val="20"/>
              </w:rPr>
            </w:pPr>
          </w:p>
          <w:p w:rsidR="009E21C0" w:rsidRPr="00E62ADC" w:rsidRDefault="009E21C0" w:rsidP="00A649D3">
            <w:pPr>
              <w:widowControl w:val="0"/>
              <w:spacing w:before="2" w:after="0" w:line="360" w:lineRule="auto"/>
              <w:ind w:left="-392"/>
              <w:jc w:val="both"/>
              <w:rPr>
                <w:rFonts w:ascii="Arial" w:eastAsia="Arial" w:hAnsi="Arial" w:cs="Arial"/>
                <w:sz w:val="20"/>
                <w:szCs w:val="20"/>
              </w:rPr>
            </w:pPr>
          </w:p>
          <w:p w:rsidR="00E62ADC" w:rsidRPr="00E62ADC" w:rsidRDefault="00E62ADC" w:rsidP="00A649D3">
            <w:pPr>
              <w:widowControl w:val="0"/>
              <w:spacing w:before="2" w:after="0" w:line="360" w:lineRule="auto"/>
              <w:ind w:left="-392"/>
              <w:jc w:val="both"/>
              <w:rPr>
                <w:rFonts w:ascii="Arial" w:eastAsia="Arial" w:hAnsi="Arial" w:cs="Arial"/>
                <w:sz w:val="20"/>
                <w:szCs w:val="20"/>
              </w:rPr>
            </w:pPr>
          </w:p>
          <w:p w:rsidR="00E62ADC" w:rsidRPr="00E3082D" w:rsidRDefault="00545880" w:rsidP="00E62ADC">
            <w:pPr>
              <w:spacing w:before="2" w:line="360" w:lineRule="auto"/>
              <w:ind w:left="426" w:hanging="426"/>
              <w:jc w:val="both"/>
              <w:rPr>
                <w:rFonts w:ascii="Arial" w:eastAsia="Arial" w:hAnsi="Arial" w:cs="Arial"/>
                <w:b/>
                <w:sz w:val="20"/>
                <w:szCs w:val="20"/>
                <w:lang w:val="en-ZA"/>
              </w:rPr>
            </w:pPr>
            <w:r w:rsidRPr="00E62ADC">
              <w:rPr>
                <w:rFonts w:ascii="Arial" w:eastAsia="Arial" w:hAnsi="Arial" w:cs="Arial"/>
                <w:sz w:val="20"/>
                <w:szCs w:val="20"/>
                <w:lang w:val="en-ZA"/>
              </w:rPr>
              <w:lastRenderedPageBreak/>
              <w:t xml:space="preserve"> </w:t>
            </w:r>
            <w:r w:rsidR="00A649D3" w:rsidRPr="00E3082D">
              <w:rPr>
                <w:rFonts w:ascii="Arial" w:eastAsia="Arial" w:hAnsi="Arial" w:cs="Arial"/>
                <w:b/>
                <w:sz w:val="20"/>
                <w:szCs w:val="20"/>
                <w:lang w:val="en-ZA"/>
              </w:rPr>
              <w:t xml:space="preserve">5.2 </w:t>
            </w:r>
            <w:r w:rsidR="00E3082D" w:rsidRPr="00E3082D">
              <w:rPr>
                <w:rFonts w:ascii="Arial" w:eastAsia="Arial" w:hAnsi="Arial" w:cs="Arial"/>
                <w:b/>
                <w:sz w:val="20"/>
                <w:szCs w:val="20"/>
                <w:lang w:val="en-ZA"/>
              </w:rPr>
              <w:t xml:space="preserve">Competitive Bidding  </w:t>
            </w:r>
          </w:p>
          <w:p w:rsidR="00545880" w:rsidRPr="00E3082D" w:rsidRDefault="00E62ADC" w:rsidP="00D024A8">
            <w:pPr>
              <w:spacing w:before="2" w:line="360" w:lineRule="auto"/>
              <w:ind w:left="-5" w:hanging="137"/>
              <w:jc w:val="both"/>
              <w:rPr>
                <w:rFonts w:ascii="Arial" w:eastAsia="Arial" w:hAnsi="Arial" w:cs="Arial"/>
                <w:sz w:val="20"/>
                <w:szCs w:val="20"/>
                <w:lang w:val="en-ZA"/>
              </w:rPr>
            </w:pPr>
            <w:r w:rsidRPr="00E3082D">
              <w:rPr>
                <w:rFonts w:ascii="Arial" w:eastAsia="Arial" w:hAnsi="Arial" w:cs="Arial"/>
                <w:b/>
                <w:sz w:val="20"/>
                <w:szCs w:val="20"/>
                <w:lang w:val="en-ZA"/>
              </w:rPr>
              <w:t xml:space="preserve"> </w:t>
            </w:r>
            <w:r w:rsidR="00D024A8">
              <w:rPr>
                <w:rFonts w:ascii="Arial" w:eastAsia="Arial" w:hAnsi="Arial" w:cs="Arial"/>
                <w:b/>
                <w:sz w:val="20"/>
                <w:szCs w:val="20"/>
                <w:lang w:val="en-ZA"/>
              </w:rPr>
              <w:t xml:space="preserve">  </w:t>
            </w:r>
            <w:r>
              <w:rPr>
                <w:rFonts w:ascii="Arial" w:eastAsia="Arial" w:hAnsi="Arial" w:cs="Arial"/>
                <w:lang w:val="en-ZA"/>
              </w:rPr>
              <w:t>A co</w:t>
            </w:r>
            <w:r w:rsidR="00A649D3" w:rsidRPr="00A649D3">
              <w:rPr>
                <w:rFonts w:ascii="Arial" w:eastAsia="Arial" w:hAnsi="Arial" w:cs="Arial"/>
                <w:sz w:val="20"/>
                <w:szCs w:val="20"/>
                <w:lang w:val="en-ZA"/>
              </w:rPr>
              <w:t>mpetitive bidding process specifies that goods and services</w:t>
            </w:r>
            <w:r w:rsidRPr="00E62ADC">
              <w:rPr>
                <w:rFonts w:ascii="Arial" w:eastAsia="Arial" w:hAnsi="Arial" w:cs="Arial"/>
                <w:sz w:val="20"/>
                <w:szCs w:val="20"/>
                <w:lang w:val="en-ZA"/>
              </w:rPr>
              <w:t xml:space="preserve"> above the transaction value of </w:t>
            </w:r>
            <w:r w:rsidR="00D024A8">
              <w:rPr>
                <w:rFonts w:ascii="Arial" w:eastAsia="Arial" w:hAnsi="Arial" w:cs="Arial"/>
                <w:sz w:val="20"/>
                <w:szCs w:val="20"/>
                <w:lang w:val="en-ZA"/>
              </w:rPr>
              <w:t xml:space="preserve">R200 000.00, </w:t>
            </w:r>
            <w:r w:rsidR="00A649D3" w:rsidRPr="00A649D3">
              <w:rPr>
                <w:rFonts w:ascii="Arial" w:eastAsia="Arial" w:hAnsi="Arial" w:cs="Arial"/>
                <w:sz w:val="20"/>
                <w:szCs w:val="20"/>
                <w:lang w:val="en-ZA"/>
              </w:rPr>
              <w:t>VAT included and long term contracts may be procured by the municipality only through a competitive bidding process.</w:t>
            </w:r>
            <w:r w:rsidR="00545880" w:rsidRPr="00E62ADC">
              <w:rPr>
                <w:rFonts w:ascii="Arial" w:eastAsia="Arial" w:hAnsi="Arial" w:cs="Arial"/>
                <w:sz w:val="20"/>
                <w:szCs w:val="20"/>
                <w:lang w:val="en-ZA"/>
              </w:rPr>
              <w:t xml:space="preserve"> </w:t>
            </w:r>
          </w:p>
          <w:p w:rsidR="009E21C0" w:rsidRDefault="00E3082D" w:rsidP="00E3082D">
            <w:pPr>
              <w:spacing w:before="2" w:line="360" w:lineRule="auto"/>
              <w:jc w:val="both"/>
              <w:rPr>
                <w:rFonts w:ascii="Arial" w:eastAsia="Arial" w:hAnsi="Arial" w:cs="Arial"/>
                <w:sz w:val="20"/>
                <w:szCs w:val="20"/>
                <w:lang w:val="en-ZA"/>
              </w:rPr>
            </w:pPr>
            <w:r>
              <w:rPr>
                <w:rFonts w:ascii="Arial" w:eastAsia="Arial" w:hAnsi="Arial" w:cs="Arial"/>
                <w:sz w:val="20"/>
                <w:szCs w:val="20"/>
                <w:lang w:val="en-ZA"/>
              </w:rPr>
              <w:t xml:space="preserve"> </w:t>
            </w:r>
            <w:r w:rsidR="009029F6">
              <w:rPr>
                <w:rFonts w:ascii="Arial" w:eastAsia="Arial" w:hAnsi="Arial" w:cs="Arial"/>
                <w:sz w:val="20"/>
                <w:szCs w:val="20"/>
                <w:lang w:val="en-ZA"/>
              </w:rPr>
              <w:t>Only one project was appointed through competitive bidding process. Attached is the tender r</w:t>
            </w:r>
            <w:r w:rsidR="00657DE5">
              <w:rPr>
                <w:rFonts w:ascii="Arial" w:eastAsia="Arial" w:hAnsi="Arial" w:cs="Arial"/>
                <w:sz w:val="20"/>
                <w:szCs w:val="20"/>
                <w:lang w:val="en-ZA"/>
              </w:rPr>
              <w:t>egister as Annexure B”1”</w:t>
            </w:r>
            <w:r w:rsidR="00545880" w:rsidRPr="00545880">
              <w:rPr>
                <w:rFonts w:ascii="Arial" w:eastAsia="Arial" w:hAnsi="Arial" w:cs="Arial"/>
                <w:sz w:val="20"/>
                <w:szCs w:val="20"/>
                <w:lang w:val="en-ZA"/>
              </w:rPr>
              <w:t xml:space="preserve"> </w:t>
            </w:r>
          </w:p>
          <w:p w:rsidR="00AC7DD0" w:rsidRDefault="00C459C5" w:rsidP="00AC7DD0">
            <w:pPr>
              <w:spacing w:before="2" w:line="360" w:lineRule="auto"/>
              <w:jc w:val="both"/>
              <w:rPr>
                <w:rFonts w:ascii="Arial" w:eastAsia="Arial" w:hAnsi="Arial" w:cs="Arial"/>
                <w:sz w:val="20"/>
                <w:szCs w:val="20"/>
                <w:lang w:val="en-ZA"/>
              </w:rPr>
            </w:pPr>
            <w:r>
              <w:rPr>
                <w:rFonts w:ascii="Arial" w:eastAsia="Arial" w:hAnsi="Arial" w:cs="Arial"/>
                <w:sz w:val="20"/>
                <w:szCs w:val="20"/>
                <w:lang w:val="en-ZA"/>
              </w:rPr>
              <w:t xml:space="preserve"> </w:t>
            </w:r>
            <w:r w:rsidR="00AC7DD0">
              <w:rPr>
                <w:rFonts w:ascii="Arial" w:eastAsia="Arial" w:hAnsi="Arial" w:cs="Arial"/>
                <w:sz w:val="20"/>
                <w:szCs w:val="20"/>
                <w:lang w:val="en-ZA"/>
              </w:rPr>
              <w:t xml:space="preserve">Furthermore national treasury has issued notice on the </w:t>
            </w:r>
            <w:r w:rsidR="00AC7DD0" w:rsidRPr="00C459C5">
              <w:rPr>
                <w:rFonts w:ascii="Arial" w:eastAsia="Arial" w:hAnsi="Arial" w:cs="Arial"/>
                <w:sz w:val="20"/>
                <w:szCs w:val="20"/>
                <w:lang w:val="en-ZA"/>
              </w:rPr>
              <w:t xml:space="preserve">constitutional court judgment regarding preferential </w:t>
            </w:r>
            <w:r w:rsidR="00AC7DD0">
              <w:rPr>
                <w:rFonts w:ascii="Arial" w:eastAsia="Arial" w:hAnsi="Arial" w:cs="Arial"/>
                <w:sz w:val="20"/>
                <w:szCs w:val="20"/>
                <w:lang w:val="en-ZA"/>
              </w:rPr>
              <w:t xml:space="preserve">  procurement regulations, 2017 which suspended procurement of goods and services from 16</w:t>
            </w:r>
            <w:r w:rsidR="00AC7DD0" w:rsidRPr="00AC7DD0">
              <w:rPr>
                <w:rFonts w:ascii="Arial" w:eastAsia="Arial" w:hAnsi="Arial" w:cs="Arial"/>
                <w:sz w:val="20"/>
                <w:szCs w:val="20"/>
                <w:vertAlign w:val="superscript"/>
                <w:lang w:val="en-ZA"/>
              </w:rPr>
              <w:t>th</w:t>
            </w:r>
            <w:r w:rsidR="00AC7DD0">
              <w:rPr>
                <w:rFonts w:ascii="Arial" w:eastAsia="Arial" w:hAnsi="Arial" w:cs="Arial"/>
                <w:sz w:val="20"/>
                <w:szCs w:val="20"/>
                <w:lang w:val="en-ZA"/>
              </w:rPr>
              <w:t xml:space="preserve"> February 2022.Thats the reason there are no new tender appointment. Attached is the notice on the constitutional court judgment. </w:t>
            </w:r>
            <w:r w:rsidR="002E31F1">
              <w:rPr>
                <w:rFonts w:ascii="Arial" w:eastAsia="Arial" w:hAnsi="Arial" w:cs="Arial"/>
                <w:sz w:val="20"/>
                <w:szCs w:val="20"/>
                <w:lang w:val="en-ZA"/>
              </w:rPr>
              <w:t xml:space="preserve">Annexure </w:t>
            </w:r>
            <w:r w:rsidR="00D024A8">
              <w:rPr>
                <w:rFonts w:ascii="Arial" w:eastAsia="Arial" w:hAnsi="Arial" w:cs="Arial"/>
                <w:sz w:val="20"/>
                <w:szCs w:val="20"/>
                <w:lang w:val="en-ZA"/>
              </w:rPr>
              <w:t>“B</w:t>
            </w:r>
            <w:r w:rsidR="009029F6">
              <w:rPr>
                <w:rFonts w:ascii="Arial" w:eastAsia="Arial" w:hAnsi="Arial" w:cs="Arial"/>
                <w:sz w:val="20"/>
                <w:szCs w:val="20"/>
                <w:lang w:val="en-ZA"/>
              </w:rPr>
              <w:t>2</w:t>
            </w:r>
            <w:r w:rsidR="00AC7DD0">
              <w:rPr>
                <w:rFonts w:ascii="Arial" w:eastAsia="Arial" w:hAnsi="Arial" w:cs="Arial"/>
                <w:sz w:val="20"/>
                <w:szCs w:val="20"/>
                <w:lang w:val="en-ZA"/>
              </w:rPr>
              <w:t>”</w:t>
            </w:r>
          </w:p>
          <w:p w:rsidR="00AC7DD0" w:rsidRDefault="00AC7DD0" w:rsidP="00AC7DD0">
            <w:pPr>
              <w:spacing w:before="2" w:line="360" w:lineRule="auto"/>
              <w:jc w:val="both"/>
              <w:rPr>
                <w:rFonts w:ascii="Arial" w:eastAsia="Arial" w:hAnsi="Arial" w:cs="Arial"/>
                <w:sz w:val="20"/>
                <w:szCs w:val="20"/>
                <w:lang w:val="en-ZA"/>
              </w:rPr>
            </w:pPr>
          </w:p>
          <w:p w:rsidR="00545880" w:rsidRPr="00E3082D" w:rsidRDefault="00E3082D" w:rsidP="00AC7DD0">
            <w:pPr>
              <w:spacing w:before="2" w:line="360" w:lineRule="auto"/>
              <w:jc w:val="both"/>
              <w:rPr>
                <w:rFonts w:ascii="Arial" w:eastAsia="Arial" w:hAnsi="Arial" w:cs="Arial"/>
                <w:b/>
              </w:rPr>
            </w:pPr>
            <w:r>
              <w:rPr>
                <w:rFonts w:ascii="Arial" w:eastAsia="Arial" w:hAnsi="Arial" w:cs="Arial"/>
                <w:sz w:val="20"/>
                <w:szCs w:val="20"/>
              </w:rPr>
              <w:t xml:space="preserve">  </w:t>
            </w:r>
            <w:r w:rsidR="00545880" w:rsidRPr="00E3082D">
              <w:rPr>
                <w:rFonts w:ascii="Arial" w:eastAsia="Arial" w:hAnsi="Arial" w:cs="Arial"/>
                <w:b/>
              </w:rPr>
              <w:t>5.3</w:t>
            </w:r>
            <w:r w:rsidRPr="00E3082D">
              <w:rPr>
                <w:rFonts w:ascii="Arial" w:eastAsia="Arial" w:hAnsi="Arial" w:cs="Arial"/>
                <w:b/>
              </w:rPr>
              <w:t xml:space="preserve"> Deviation </w:t>
            </w:r>
          </w:p>
          <w:tbl>
            <w:tblPr>
              <w:tblStyle w:val="TableGrid1"/>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2"/>
            </w:tblGrid>
            <w:tr w:rsidR="00545880" w:rsidRPr="00E62ADC" w:rsidTr="00EE6311">
              <w:trPr>
                <w:trHeight w:val="371"/>
              </w:trPr>
              <w:tc>
                <w:tcPr>
                  <w:tcW w:w="9492" w:type="dxa"/>
                </w:tcPr>
                <w:p w:rsidR="00545880" w:rsidRPr="00E62ADC" w:rsidRDefault="00545880" w:rsidP="00545880">
                  <w:pPr>
                    <w:rPr>
                      <w:rFonts w:ascii="Arial" w:hAnsi="Arial" w:cs="Arial"/>
                    </w:rPr>
                  </w:pPr>
                  <w:r w:rsidRPr="00E62ADC">
                    <w:rPr>
                      <w:rFonts w:ascii="Arial" w:hAnsi="Arial" w:cs="Arial"/>
                    </w:rPr>
                    <w:t>The accounting officer has dispensed with the official procurement process established by the policy and procured required goods and services through Regulation 36 of the MFMA.</w:t>
                  </w:r>
                </w:p>
                <w:p w:rsidR="00545880" w:rsidRPr="00E62ADC" w:rsidRDefault="00545880" w:rsidP="00545880">
                  <w:pPr>
                    <w:rPr>
                      <w:rFonts w:ascii="Arial" w:hAnsi="Arial" w:cs="Arial"/>
                      <w:b/>
                    </w:rPr>
                  </w:pPr>
                  <w:r w:rsidRPr="00E62ADC">
                    <w:rPr>
                      <w:rFonts w:ascii="Arial" w:hAnsi="Arial" w:cs="Arial"/>
                    </w:rPr>
                    <w:t xml:space="preserve">Paragraph 42 of the SCM Policy: </w:t>
                  </w:r>
                  <w:r w:rsidRPr="00E62ADC">
                    <w:rPr>
                      <w:rFonts w:ascii="Arial" w:hAnsi="Arial" w:cs="Arial"/>
                      <w:b/>
                    </w:rPr>
                    <w:t>Deviation from, ratification of minor breaches of procurement process and emergencies:</w:t>
                  </w:r>
                  <w:r w:rsidR="00F61CDB">
                    <w:rPr>
                      <w:rFonts w:ascii="Arial" w:hAnsi="Arial" w:cs="Arial"/>
                      <w:b/>
                    </w:rPr>
                    <w:t xml:space="preserve"> Attached as</w:t>
                  </w:r>
                  <w:r w:rsidR="00AC7DD0" w:rsidRPr="002E31F1">
                    <w:rPr>
                      <w:rFonts w:ascii="Arial" w:hAnsi="Arial" w:cs="Arial"/>
                      <w:b/>
                      <w:shd w:val="clear" w:color="auto" w:fill="FFFFFF" w:themeFill="background1"/>
                    </w:rPr>
                    <w:t xml:space="preserve"> Annexure </w:t>
                  </w:r>
                  <w:r w:rsidR="009029F6">
                    <w:rPr>
                      <w:rFonts w:ascii="Arial" w:hAnsi="Arial" w:cs="Arial"/>
                      <w:b/>
                      <w:shd w:val="clear" w:color="auto" w:fill="FFFFFF" w:themeFill="background1"/>
                    </w:rPr>
                    <w:t>“C</w:t>
                  </w:r>
                  <w:r w:rsidR="002E31F1">
                    <w:rPr>
                      <w:rFonts w:ascii="Arial" w:hAnsi="Arial" w:cs="Arial"/>
                      <w:b/>
                      <w:shd w:val="clear" w:color="auto" w:fill="FFFFFF" w:themeFill="background1"/>
                    </w:rPr>
                    <w:t>”</w:t>
                  </w:r>
                </w:p>
                <w:p w:rsidR="00545880" w:rsidRPr="00E62ADC" w:rsidRDefault="00545880" w:rsidP="00545880">
                  <w:pPr>
                    <w:rPr>
                      <w:rFonts w:ascii="Arial" w:hAnsi="Arial" w:cs="Arial"/>
                      <w:b/>
                    </w:rPr>
                  </w:pPr>
                </w:p>
                <w:p w:rsidR="00545880" w:rsidRDefault="00D024A8" w:rsidP="00545880">
                  <w:pPr>
                    <w:rPr>
                      <w:rFonts w:ascii="Arial" w:hAnsi="Arial" w:cs="Arial"/>
                      <w:b/>
                    </w:rPr>
                  </w:pPr>
                  <w:r>
                    <w:rPr>
                      <w:rFonts w:ascii="Arial" w:hAnsi="Arial" w:cs="Arial"/>
                      <w:b/>
                    </w:rPr>
                    <w:t xml:space="preserve">Table : 5.3.1 Third </w:t>
                  </w:r>
                  <w:r w:rsidR="00545880" w:rsidRPr="00E62ADC">
                    <w:rPr>
                      <w:rFonts w:ascii="Arial" w:hAnsi="Arial" w:cs="Arial"/>
                      <w:b/>
                    </w:rPr>
                    <w:t xml:space="preserve"> Qua</w:t>
                  </w:r>
                  <w:r w:rsidR="009029F6">
                    <w:rPr>
                      <w:rFonts w:ascii="Arial" w:hAnsi="Arial" w:cs="Arial"/>
                      <w:b/>
                    </w:rPr>
                    <w:t xml:space="preserve">rter Deviation register </w:t>
                  </w:r>
                </w:p>
                <w:p w:rsidR="00D024A8" w:rsidRDefault="00D024A8" w:rsidP="00545880">
                  <w:pPr>
                    <w:rPr>
                      <w:rFonts w:ascii="Arial" w:hAnsi="Arial" w:cs="Arial"/>
                      <w:b/>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850"/>
                    <w:gridCol w:w="1701"/>
                    <w:gridCol w:w="1423"/>
                    <w:gridCol w:w="1134"/>
                    <w:gridCol w:w="1271"/>
                    <w:gridCol w:w="850"/>
                    <w:gridCol w:w="1423"/>
                  </w:tblGrid>
                  <w:tr w:rsidR="00EE6311" w:rsidRPr="00EE6311" w:rsidTr="002A746C">
                    <w:trPr>
                      <w:trHeight w:val="600"/>
                    </w:trPr>
                    <w:tc>
                      <w:tcPr>
                        <w:tcW w:w="9238" w:type="dxa"/>
                        <w:gridSpan w:val="8"/>
                        <w:shd w:val="clear" w:color="auto" w:fill="auto"/>
                        <w:vAlign w:val="center"/>
                        <w:hideMark/>
                      </w:tcPr>
                      <w:p w:rsidR="00EE6311" w:rsidRPr="00EE6311" w:rsidRDefault="00EE6311" w:rsidP="00EE6311">
                        <w:pPr>
                          <w:spacing w:after="0" w:line="240" w:lineRule="auto"/>
                          <w:rPr>
                            <w:rFonts w:eastAsia="Times New Roman" w:cs="Calibri"/>
                            <w:b/>
                            <w:bCs/>
                            <w:color w:val="000000"/>
                            <w:sz w:val="18"/>
                            <w:szCs w:val="18"/>
                            <w:lang w:val="en-ZA" w:eastAsia="en-ZA"/>
                          </w:rPr>
                        </w:pPr>
                        <w:r w:rsidRPr="00EE6311">
                          <w:rPr>
                            <w:rFonts w:eastAsia="Times New Roman" w:cs="Calibri"/>
                            <w:b/>
                            <w:bCs/>
                            <w:color w:val="000000"/>
                            <w:sz w:val="18"/>
                            <w:szCs w:val="18"/>
                            <w:lang w:val="en-ZA" w:eastAsia="en-ZA"/>
                          </w:rPr>
                          <w:t>INCIDENTS OF DEVIATIONS FROM NORMAL PROCUREMENT PROCESSSES (SUB-REGULATION 36 (1) (A) (I) – (V) OF THE MUNICIPAL SUPPLY CHAIN MANAGEMENT REGULATIONS: 2021-2022 FINANCIAL YEAR (JULY2021- MARCH 2022)</w:t>
                        </w:r>
                      </w:p>
                    </w:tc>
                  </w:tr>
                  <w:tr w:rsidR="00EE6311" w:rsidRPr="00EE6311" w:rsidTr="002A746C">
                    <w:trPr>
                      <w:trHeight w:val="1020"/>
                    </w:trPr>
                    <w:tc>
                      <w:tcPr>
                        <w:tcW w:w="586" w:type="dxa"/>
                        <w:shd w:val="clear" w:color="000000" w:fill="92D050"/>
                        <w:noWrap/>
                        <w:vAlign w:val="center"/>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NO</w:t>
                        </w:r>
                      </w:p>
                    </w:tc>
                    <w:tc>
                      <w:tcPr>
                        <w:tcW w:w="850" w:type="dxa"/>
                        <w:shd w:val="clear" w:color="000000" w:fill="92D050"/>
                        <w:noWrap/>
                        <w:vAlign w:val="center"/>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DATE</w:t>
                        </w:r>
                      </w:p>
                    </w:tc>
                    <w:tc>
                      <w:tcPr>
                        <w:tcW w:w="1701" w:type="dxa"/>
                        <w:shd w:val="clear" w:color="000000" w:fill="92D050"/>
                        <w:vAlign w:val="center"/>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DESCRIPTION OF SERVICES</w:t>
                        </w:r>
                      </w:p>
                    </w:tc>
                    <w:tc>
                      <w:tcPr>
                        <w:tcW w:w="1423" w:type="dxa"/>
                        <w:shd w:val="clear" w:color="000000" w:fill="92D050"/>
                        <w:vAlign w:val="center"/>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APPOINTED CONTRACTOR</w:t>
                        </w:r>
                      </w:p>
                    </w:tc>
                    <w:tc>
                      <w:tcPr>
                        <w:tcW w:w="1134" w:type="dxa"/>
                        <w:shd w:val="clear" w:color="000000" w:fill="92D050"/>
                        <w:vAlign w:val="center"/>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QUOTED PRICE OF APPOINTED CONTRACTOR</w:t>
                        </w:r>
                      </w:p>
                    </w:tc>
                    <w:tc>
                      <w:tcPr>
                        <w:tcW w:w="1271" w:type="dxa"/>
                        <w:shd w:val="clear" w:color="000000" w:fill="92D050"/>
                        <w:vAlign w:val="center"/>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BEE - RATING OF APPOINTED CONTRACTOR</w:t>
                        </w:r>
                      </w:p>
                    </w:tc>
                    <w:tc>
                      <w:tcPr>
                        <w:tcW w:w="850" w:type="dxa"/>
                        <w:shd w:val="clear" w:color="000000" w:fill="92D050"/>
                        <w:vAlign w:val="center"/>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ORDER NUMBER/ EFT NUMBER</w:t>
                        </w:r>
                      </w:p>
                    </w:tc>
                    <w:tc>
                      <w:tcPr>
                        <w:tcW w:w="1423" w:type="dxa"/>
                        <w:shd w:val="clear" w:color="000000" w:fill="92D050"/>
                        <w:vAlign w:val="center"/>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RECORDED AND APPROVED REASONS FOR DEVIATION</w:t>
                        </w:r>
                      </w:p>
                    </w:tc>
                  </w:tr>
                  <w:tr w:rsidR="00EE6311" w:rsidRPr="00EE6311" w:rsidTr="002A746C">
                    <w:trPr>
                      <w:trHeight w:val="730"/>
                    </w:trPr>
                    <w:tc>
                      <w:tcPr>
                        <w:tcW w:w="586" w:type="dxa"/>
                        <w:shd w:val="clear" w:color="auto" w:fill="auto"/>
                        <w:noWrap/>
                        <w:vAlign w:val="bottom"/>
                        <w:hideMark/>
                      </w:tcPr>
                      <w:p w:rsidR="00EE6311" w:rsidRPr="00EE6311" w:rsidRDefault="00EE6311" w:rsidP="00EE6311">
                        <w:pPr>
                          <w:spacing w:after="0" w:line="240" w:lineRule="auto"/>
                          <w:jc w:val="right"/>
                          <w:rPr>
                            <w:rFonts w:eastAsia="Times New Roman" w:cs="Calibri"/>
                            <w:color w:val="000000"/>
                            <w:sz w:val="18"/>
                            <w:szCs w:val="18"/>
                            <w:lang w:val="en-ZA" w:eastAsia="en-ZA"/>
                          </w:rPr>
                        </w:pPr>
                        <w:r w:rsidRPr="00EE6311">
                          <w:rPr>
                            <w:rFonts w:eastAsia="Times New Roman" w:cs="Calibri"/>
                            <w:color w:val="000000"/>
                            <w:sz w:val="18"/>
                            <w:szCs w:val="18"/>
                            <w:lang w:val="en-ZA" w:eastAsia="en-ZA"/>
                          </w:rPr>
                          <w:t>1</w:t>
                        </w:r>
                      </w:p>
                    </w:tc>
                    <w:tc>
                      <w:tcPr>
                        <w:tcW w:w="850"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22-Nov-21</w:t>
                        </w:r>
                      </w:p>
                    </w:tc>
                    <w:tc>
                      <w:tcPr>
                        <w:tcW w:w="1701" w:type="dxa"/>
                        <w:shd w:val="clear" w:color="auto" w:fill="auto"/>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60 Point check on vehicle reg. KFN 317 MP and HVV 223 MP</w:t>
                        </w:r>
                      </w:p>
                    </w:tc>
                    <w:tc>
                      <w:tcPr>
                        <w:tcW w:w="1423" w:type="dxa"/>
                        <w:shd w:val="clear" w:color="auto" w:fill="auto"/>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McCarthy Limited</w:t>
                        </w:r>
                      </w:p>
                    </w:tc>
                    <w:tc>
                      <w:tcPr>
                        <w:tcW w:w="1134" w:type="dxa"/>
                        <w:shd w:val="clear" w:color="auto" w:fill="auto"/>
                        <w:noWrap/>
                        <w:vAlign w:val="bottom"/>
                        <w:hideMark/>
                      </w:tcPr>
                      <w:p w:rsidR="00EE6311" w:rsidRPr="00EE6311" w:rsidRDefault="00EE6311" w:rsidP="00EE6311">
                        <w:pPr>
                          <w:spacing w:after="0" w:line="240" w:lineRule="auto"/>
                          <w:jc w:val="right"/>
                          <w:rPr>
                            <w:rFonts w:eastAsia="Times New Roman" w:cs="Calibri"/>
                            <w:color w:val="000000"/>
                            <w:sz w:val="18"/>
                            <w:szCs w:val="18"/>
                            <w:lang w:val="en-ZA" w:eastAsia="en-ZA"/>
                          </w:rPr>
                        </w:pPr>
                        <w:r w:rsidRPr="00EE6311">
                          <w:rPr>
                            <w:rFonts w:eastAsia="Times New Roman" w:cs="Calibri"/>
                            <w:color w:val="000000"/>
                            <w:sz w:val="18"/>
                            <w:szCs w:val="18"/>
                            <w:lang w:val="en-ZA" w:eastAsia="en-ZA"/>
                          </w:rPr>
                          <w:t>R5 000,13</w:t>
                        </w:r>
                      </w:p>
                    </w:tc>
                    <w:tc>
                      <w:tcPr>
                        <w:tcW w:w="1271"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Level 4</w:t>
                        </w:r>
                      </w:p>
                    </w:tc>
                    <w:tc>
                      <w:tcPr>
                        <w:tcW w:w="850"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5500</w:t>
                        </w:r>
                      </w:p>
                    </w:tc>
                    <w:tc>
                      <w:tcPr>
                        <w:tcW w:w="1423" w:type="dxa"/>
                        <w:shd w:val="clear" w:color="auto" w:fill="auto"/>
                        <w:vAlign w:val="bottom"/>
                        <w:hideMark/>
                      </w:tcPr>
                      <w:p w:rsidR="00EE6311" w:rsidRPr="00EE6311" w:rsidRDefault="00EE6311" w:rsidP="002A746C">
                        <w:pPr>
                          <w:spacing w:after="0" w:line="240" w:lineRule="auto"/>
                          <w:ind w:right="-108"/>
                          <w:rPr>
                            <w:rFonts w:eastAsia="Times New Roman" w:cs="Calibri"/>
                            <w:color w:val="000000"/>
                            <w:sz w:val="18"/>
                            <w:szCs w:val="18"/>
                            <w:lang w:val="en-ZA" w:eastAsia="en-ZA"/>
                          </w:rPr>
                        </w:pPr>
                        <w:r w:rsidRPr="00EE6311">
                          <w:rPr>
                            <w:rFonts w:eastAsia="Times New Roman" w:cs="Calibri"/>
                            <w:color w:val="000000"/>
                            <w:sz w:val="18"/>
                            <w:szCs w:val="18"/>
                            <w:lang w:val="en-ZA" w:eastAsia="en-ZA"/>
                          </w:rPr>
                          <w:t>Impractical to follow normal SCM process</w:t>
                        </w:r>
                      </w:p>
                    </w:tc>
                  </w:tr>
                  <w:tr w:rsidR="00EE6311" w:rsidRPr="00EE6311" w:rsidTr="002A746C">
                    <w:trPr>
                      <w:trHeight w:val="490"/>
                    </w:trPr>
                    <w:tc>
                      <w:tcPr>
                        <w:tcW w:w="586" w:type="dxa"/>
                        <w:shd w:val="clear" w:color="auto" w:fill="auto"/>
                        <w:noWrap/>
                        <w:vAlign w:val="bottom"/>
                        <w:hideMark/>
                      </w:tcPr>
                      <w:p w:rsidR="00EE6311" w:rsidRPr="00EE6311" w:rsidRDefault="00EE6311" w:rsidP="00EE6311">
                        <w:pPr>
                          <w:spacing w:after="0" w:line="240" w:lineRule="auto"/>
                          <w:jc w:val="right"/>
                          <w:rPr>
                            <w:rFonts w:eastAsia="Times New Roman" w:cs="Calibri"/>
                            <w:color w:val="000000"/>
                            <w:sz w:val="18"/>
                            <w:szCs w:val="18"/>
                            <w:lang w:val="en-ZA" w:eastAsia="en-ZA"/>
                          </w:rPr>
                        </w:pPr>
                        <w:r w:rsidRPr="00EE6311">
                          <w:rPr>
                            <w:rFonts w:eastAsia="Times New Roman" w:cs="Calibri"/>
                            <w:color w:val="000000"/>
                            <w:sz w:val="18"/>
                            <w:szCs w:val="18"/>
                            <w:lang w:val="en-ZA" w:eastAsia="en-ZA"/>
                          </w:rPr>
                          <w:t>2</w:t>
                        </w:r>
                      </w:p>
                    </w:tc>
                    <w:tc>
                      <w:tcPr>
                        <w:tcW w:w="850"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22-Nov-21</w:t>
                        </w:r>
                      </w:p>
                    </w:tc>
                    <w:tc>
                      <w:tcPr>
                        <w:tcW w:w="1701" w:type="dxa"/>
                        <w:shd w:val="clear" w:color="auto" w:fill="auto"/>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Service on Mayoral vehicle JPF 558 MP</w:t>
                        </w:r>
                      </w:p>
                    </w:tc>
                    <w:tc>
                      <w:tcPr>
                        <w:tcW w:w="1423" w:type="dxa"/>
                        <w:shd w:val="clear" w:color="auto" w:fill="auto"/>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Hatfield Holdings (Pty) Ltd</w:t>
                        </w:r>
                      </w:p>
                    </w:tc>
                    <w:tc>
                      <w:tcPr>
                        <w:tcW w:w="1134" w:type="dxa"/>
                        <w:shd w:val="clear" w:color="auto" w:fill="auto"/>
                        <w:noWrap/>
                        <w:vAlign w:val="bottom"/>
                        <w:hideMark/>
                      </w:tcPr>
                      <w:p w:rsidR="00EE6311" w:rsidRPr="00EE6311" w:rsidRDefault="00EE6311" w:rsidP="00EE6311">
                        <w:pPr>
                          <w:spacing w:after="0" w:line="240" w:lineRule="auto"/>
                          <w:jc w:val="right"/>
                          <w:rPr>
                            <w:rFonts w:eastAsia="Times New Roman" w:cs="Calibri"/>
                            <w:color w:val="000000"/>
                            <w:sz w:val="18"/>
                            <w:szCs w:val="18"/>
                            <w:lang w:val="en-ZA" w:eastAsia="en-ZA"/>
                          </w:rPr>
                        </w:pPr>
                        <w:r w:rsidRPr="00EE6311">
                          <w:rPr>
                            <w:rFonts w:eastAsia="Times New Roman" w:cs="Calibri"/>
                            <w:color w:val="000000"/>
                            <w:sz w:val="18"/>
                            <w:szCs w:val="18"/>
                            <w:lang w:val="en-ZA" w:eastAsia="en-ZA"/>
                          </w:rPr>
                          <w:t>R26 942,90</w:t>
                        </w:r>
                      </w:p>
                    </w:tc>
                    <w:tc>
                      <w:tcPr>
                        <w:tcW w:w="1271"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Level 4</w:t>
                        </w:r>
                      </w:p>
                    </w:tc>
                    <w:tc>
                      <w:tcPr>
                        <w:tcW w:w="850"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5499</w:t>
                        </w:r>
                      </w:p>
                    </w:tc>
                    <w:tc>
                      <w:tcPr>
                        <w:tcW w:w="1423" w:type="dxa"/>
                        <w:shd w:val="clear" w:color="auto" w:fill="auto"/>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Impractical to follow normal SCM process</w:t>
                        </w:r>
                      </w:p>
                    </w:tc>
                  </w:tr>
                  <w:tr w:rsidR="00EE6311" w:rsidRPr="00EE6311" w:rsidTr="002A746C">
                    <w:trPr>
                      <w:trHeight w:val="490"/>
                    </w:trPr>
                    <w:tc>
                      <w:tcPr>
                        <w:tcW w:w="586" w:type="dxa"/>
                        <w:shd w:val="clear" w:color="auto" w:fill="auto"/>
                        <w:noWrap/>
                        <w:vAlign w:val="bottom"/>
                        <w:hideMark/>
                      </w:tcPr>
                      <w:p w:rsidR="00EE6311" w:rsidRPr="00EE6311" w:rsidRDefault="00EE6311" w:rsidP="00EE6311">
                        <w:pPr>
                          <w:spacing w:after="0" w:line="240" w:lineRule="auto"/>
                          <w:jc w:val="right"/>
                          <w:rPr>
                            <w:rFonts w:eastAsia="Times New Roman" w:cs="Calibri"/>
                            <w:color w:val="000000"/>
                            <w:sz w:val="18"/>
                            <w:szCs w:val="18"/>
                            <w:lang w:val="en-ZA" w:eastAsia="en-ZA"/>
                          </w:rPr>
                        </w:pPr>
                        <w:r w:rsidRPr="00EE6311">
                          <w:rPr>
                            <w:rFonts w:eastAsia="Times New Roman" w:cs="Calibri"/>
                            <w:color w:val="000000"/>
                            <w:sz w:val="18"/>
                            <w:szCs w:val="18"/>
                            <w:lang w:val="en-ZA" w:eastAsia="en-ZA"/>
                          </w:rPr>
                          <w:t>3</w:t>
                        </w:r>
                      </w:p>
                    </w:tc>
                    <w:tc>
                      <w:tcPr>
                        <w:tcW w:w="850"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27-Oct-21</w:t>
                        </w:r>
                      </w:p>
                    </w:tc>
                    <w:tc>
                      <w:tcPr>
                        <w:tcW w:w="1701" w:type="dxa"/>
                        <w:shd w:val="clear" w:color="auto" w:fill="auto"/>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Roadworthiness tests on municipal vehicles</w:t>
                        </w:r>
                      </w:p>
                    </w:tc>
                    <w:tc>
                      <w:tcPr>
                        <w:tcW w:w="1423" w:type="dxa"/>
                        <w:shd w:val="clear" w:color="auto" w:fill="auto"/>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Eyethu Roadworthy Centre</w:t>
                        </w:r>
                      </w:p>
                    </w:tc>
                    <w:tc>
                      <w:tcPr>
                        <w:tcW w:w="1134" w:type="dxa"/>
                        <w:shd w:val="clear" w:color="auto" w:fill="auto"/>
                        <w:noWrap/>
                        <w:vAlign w:val="bottom"/>
                        <w:hideMark/>
                      </w:tcPr>
                      <w:p w:rsidR="00EE6311" w:rsidRPr="00EE6311" w:rsidRDefault="00EE6311" w:rsidP="00EE6311">
                        <w:pPr>
                          <w:spacing w:after="0" w:line="240" w:lineRule="auto"/>
                          <w:jc w:val="right"/>
                          <w:rPr>
                            <w:rFonts w:eastAsia="Times New Roman" w:cs="Calibri"/>
                            <w:color w:val="000000"/>
                            <w:sz w:val="18"/>
                            <w:szCs w:val="18"/>
                            <w:lang w:val="en-ZA" w:eastAsia="en-ZA"/>
                          </w:rPr>
                        </w:pPr>
                        <w:r w:rsidRPr="00EE6311">
                          <w:rPr>
                            <w:rFonts w:eastAsia="Times New Roman" w:cs="Calibri"/>
                            <w:color w:val="000000"/>
                            <w:sz w:val="18"/>
                            <w:szCs w:val="18"/>
                            <w:lang w:val="en-ZA" w:eastAsia="en-ZA"/>
                          </w:rPr>
                          <w:t>R34 500,00</w:t>
                        </w:r>
                      </w:p>
                    </w:tc>
                    <w:tc>
                      <w:tcPr>
                        <w:tcW w:w="1271"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Level 1</w:t>
                        </w:r>
                      </w:p>
                    </w:tc>
                    <w:tc>
                      <w:tcPr>
                        <w:tcW w:w="850"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5474</w:t>
                        </w:r>
                      </w:p>
                    </w:tc>
                    <w:tc>
                      <w:tcPr>
                        <w:tcW w:w="1423" w:type="dxa"/>
                        <w:shd w:val="clear" w:color="auto" w:fill="auto"/>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Impractical to follow normal SCM process</w:t>
                        </w:r>
                      </w:p>
                    </w:tc>
                  </w:tr>
                  <w:tr w:rsidR="00EE6311" w:rsidRPr="00EE6311" w:rsidTr="002A746C">
                    <w:trPr>
                      <w:trHeight w:val="290"/>
                    </w:trPr>
                    <w:tc>
                      <w:tcPr>
                        <w:tcW w:w="586" w:type="dxa"/>
                        <w:shd w:val="clear" w:color="auto" w:fill="auto"/>
                        <w:noWrap/>
                        <w:vAlign w:val="bottom"/>
                        <w:hideMark/>
                      </w:tcPr>
                      <w:p w:rsidR="00EE6311" w:rsidRPr="00EE6311" w:rsidRDefault="00EE6311" w:rsidP="00EE6311">
                        <w:pPr>
                          <w:spacing w:after="0" w:line="240" w:lineRule="auto"/>
                          <w:jc w:val="right"/>
                          <w:rPr>
                            <w:rFonts w:eastAsia="Times New Roman" w:cs="Calibri"/>
                            <w:color w:val="000000"/>
                            <w:sz w:val="18"/>
                            <w:szCs w:val="18"/>
                            <w:lang w:val="en-ZA" w:eastAsia="en-ZA"/>
                          </w:rPr>
                        </w:pPr>
                        <w:r w:rsidRPr="00EE6311">
                          <w:rPr>
                            <w:rFonts w:eastAsia="Times New Roman" w:cs="Calibri"/>
                            <w:color w:val="000000"/>
                            <w:sz w:val="18"/>
                            <w:szCs w:val="18"/>
                            <w:lang w:val="en-ZA" w:eastAsia="en-ZA"/>
                          </w:rPr>
                          <w:t>4</w:t>
                        </w:r>
                      </w:p>
                    </w:tc>
                    <w:tc>
                      <w:tcPr>
                        <w:tcW w:w="850"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06-Oct-21</w:t>
                        </w:r>
                      </w:p>
                    </w:tc>
                    <w:tc>
                      <w:tcPr>
                        <w:tcW w:w="1701" w:type="dxa"/>
                        <w:shd w:val="clear" w:color="auto" w:fill="auto"/>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Renewal of membership fees</w:t>
                        </w:r>
                      </w:p>
                    </w:tc>
                    <w:tc>
                      <w:tcPr>
                        <w:tcW w:w="1423" w:type="dxa"/>
                        <w:shd w:val="clear" w:color="auto" w:fill="auto"/>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Institute of Internal Auditors</w:t>
                        </w:r>
                      </w:p>
                    </w:tc>
                    <w:tc>
                      <w:tcPr>
                        <w:tcW w:w="1134" w:type="dxa"/>
                        <w:shd w:val="clear" w:color="auto" w:fill="auto"/>
                        <w:noWrap/>
                        <w:vAlign w:val="bottom"/>
                        <w:hideMark/>
                      </w:tcPr>
                      <w:p w:rsidR="00EE6311" w:rsidRPr="00EE6311" w:rsidRDefault="00EE6311" w:rsidP="00EE6311">
                        <w:pPr>
                          <w:spacing w:after="0" w:line="240" w:lineRule="auto"/>
                          <w:jc w:val="right"/>
                          <w:rPr>
                            <w:rFonts w:eastAsia="Times New Roman" w:cs="Calibri"/>
                            <w:color w:val="000000"/>
                            <w:sz w:val="18"/>
                            <w:szCs w:val="18"/>
                            <w:lang w:val="en-ZA" w:eastAsia="en-ZA"/>
                          </w:rPr>
                        </w:pPr>
                        <w:r w:rsidRPr="00EE6311">
                          <w:rPr>
                            <w:rFonts w:eastAsia="Times New Roman" w:cs="Calibri"/>
                            <w:color w:val="000000"/>
                            <w:sz w:val="18"/>
                            <w:szCs w:val="18"/>
                            <w:lang w:val="en-ZA" w:eastAsia="en-ZA"/>
                          </w:rPr>
                          <w:t>R8 875,14</w:t>
                        </w:r>
                      </w:p>
                    </w:tc>
                    <w:tc>
                      <w:tcPr>
                        <w:tcW w:w="1271"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Level 2</w:t>
                        </w:r>
                      </w:p>
                    </w:tc>
                    <w:tc>
                      <w:tcPr>
                        <w:tcW w:w="850"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5440</w:t>
                        </w:r>
                      </w:p>
                    </w:tc>
                    <w:tc>
                      <w:tcPr>
                        <w:tcW w:w="1423" w:type="dxa"/>
                        <w:shd w:val="clear" w:color="auto" w:fill="auto"/>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Sole provider of services</w:t>
                        </w:r>
                      </w:p>
                    </w:tc>
                  </w:tr>
                  <w:tr w:rsidR="00EE6311" w:rsidRPr="00EE6311" w:rsidTr="002A746C">
                    <w:trPr>
                      <w:trHeight w:val="730"/>
                    </w:trPr>
                    <w:tc>
                      <w:tcPr>
                        <w:tcW w:w="586" w:type="dxa"/>
                        <w:shd w:val="clear" w:color="auto" w:fill="auto"/>
                        <w:noWrap/>
                        <w:vAlign w:val="bottom"/>
                        <w:hideMark/>
                      </w:tcPr>
                      <w:p w:rsidR="00EE6311" w:rsidRPr="00EE6311" w:rsidRDefault="00EE6311" w:rsidP="00EE6311">
                        <w:pPr>
                          <w:spacing w:after="0" w:line="240" w:lineRule="auto"/>
                          <w:jc w:val="right"/>
                          <w:rPr>
                            <w:rFonts w:eastAsia="Times New Roman" w:cs="Calibri"/>
                            <w:color w:val="000000"/>
                            <w:sz w:val="18"/>
                            <w:szCs w:val="18"/>
                            <w:lang w:val="en-ZA" w:eastAsia="en-ZA"/>
                          </w:rPr>
                        </w:pPr>
                        <w:r w:rsidRPr="00EE6311">
                          <w:rPr>
                            <w:rFonts w:eastAsia="Times New Roman" w:cs="Calibri"/>
                            <w:color w:val="000000"/>
                            <w:sz w:val="18"/>
                            <w:szCs w:val="18"/>
                            <w:lang w:val="en-ZA" w:eastAsia="en-ZA"/>
                          </w:rPr>
                          <w:t>5</w:t>
                        </w:r>
                      </w:p>
                    </w:tc>
                    <w:tc>
                      <w:tcPr>
                        <w:tcW w:w="850"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31-Mar-22</w:t>
                        </w:r>
                      </w:p>
                    </w:tc>
                    <w:tc>
                      <w:tcPr>
                        <w:tcW w:w="1701" w:type="dxa"/>
                        <w:shd w:val="clear" w:color="auto" w:fill="auto"/>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Procurement of repair services for the mayoral vehicle</w:t>
                        </w:r>
                      </w:p>
                    </w:tc>
                    <w:tc>
                      <w:tcPr>
                        <w:tcW w:w="1423" w:type="dxa"/>
                        <w:shd w:val="clear" w:color="auto" w:fill="auto"/>
                        <w:noWrap/>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Hatfield Holdings (Pty) Ltd</w:t>
                        </w:r>
                      </w:p>
                    </w:tc>
                    <w:tc>
                      <w:tcPr>
                        <w:tcW w:w="1134" w:type="dxa"/>
                        <w:shd w:val="clear" w:color="auto" w:fill="auto"/>
                        <w:noWrap/>
                        <w:vAlign w:val="bottom"/>
                        <w:hideMark/>
                      </w:tcPr>
                      <w:p w:rsidR="00EE6311" w:rsidRPr="00EE6311" w:rsidRDefault="00EE6311" w:rsidP="00EE6311">
                        <w:pPr>
                          <w:spacing w:after="0" w:line="240" w:lineRule="auto"/>
                          <w:jc w:val="right"/>
                          <w:rPr>
                            <w:rFonts w:eastAsia="Times New Roman" w:cs="Calibri"/>
                            <w:color w:val="000000"/>
                            <w:sz w:val="18"/>
                            <w:szCs w:val="18"/>
                            <w:lang w:val="en-ZA" w:eastAsia="en-ZA"/>
                          </w:rPr>
                        </w:pPr>
                        <w:r w:rsidRPr="00EE6311">
                          <w:rPr>
                            <w:rFonts w:eastAsia="Times New Roman" w:cs="Calibri"/>
                            <w:color w:val="000000"/>
                            <w:sz w:val="18"/>
                            <w:szCs w:val="18"/>
                            <w:lang w:val="en-ZA" w:eastAsia="en-ZA"/>
                          </w:rPr>
                          <w:t>R111 443,19</w:t>
                        </w:r>
                      </w:p>
                    </w:tc>
                    <w:tc>
                      <w:tcPr>
                        <w:tcW w:w="1271"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Level 4</w:t>
                        </w:r>
                      </w:p>
                    </w:tc>
                    <w:tc>
                      <w:tcPr>
                        <w:tcW w:w="850"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5652</w:t>
                        </w:r>
                      </w:p>
                    </w:tc>
                    <w:tc>
                      <w:tcPr>
                        <w:tcW w:w="1423" w:type="dxa"/>
                        <w:shd w:val="clear" w:color="auto" w:fill="auto"/>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Impractical to follow normal SCM process</w:t>
                        </w:r>
                      </w:p>
                    </w:tc>
                  </w:tr>
                  <w:tr w:rsidR="00EE6311" w:rsidRPr="00EE6311" w:rsidTr="002A746C">
                    <w:trPr>
                      <w:trHeight w:val="300"/>
                    </w:trPr>
                    <w:tc>
                      <w:tcPr>
                        <w:tcW w:w="586" w:type="dxa"/>
                        <w:shd w:val="clear" w:color="auto" w:fill="auto"/>
                        <w:noWrap/>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 </w:t>
                        </w:r>
                      </w:p>
                    </w:tc>
                    <w:tc>
                      <w:tcPr>
                        <w:tcW w:w="850"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 </w:t>
                        </w:r>
                      </w:p>
                    </w:tc>
                    <w:tc>
                      <w:tcPr>
                        <w:tcW w:w="1701" w:type="dxa"/>
                        <w:shd w:val="clear" w:color="auto" w:fill="auto"/>
                        <w:noWrap/>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 </w:t>
                        </w:r>
                      </w:p>
                    </w:tc>
                    <w:tc>
                      <w:tcPr>
                        <w:tcW w:w="1423" w:type="dxa"/>
                        <w:shd w:val="clear" w:color="auto" w:fill="auto"/>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 </w:t>
                        </w:r>
                      </w:p>
                    </w:tc>
                    <w:tc>
                      <w:tcPr>
                        <w:tcW w:w="1134" w:type="dxa"/>
                        <w:shd w:val="clear" w:color="auto" w:fill="auto"/>
                        <w:noWrap/>
                        <w:vAlign w:val="bottom"/>
                        <w:hideMark/>
                      </w:tcPr>
                      <w:p w:rsidR="00EE6311" w:rsidRPr="00EE6311" w:rsidRDefault="00EE6311" w:rsidP="00EE6311">
                        <w:pPr>
                          <w:spacing w:after="0" w:line="240" w:lineRule="auto"/>
                          <w:jc w:val="right"/>
                          <w:rPr>
                            <w:rFonts w:eastAsia="Times New Roman" w:cs="Calibri"/>
                            <w:color w:val="000000"/>
                            <w:sz w:val="18"/>
                            <w:szCs w:val="18"/>
                            <w:lang w:val="en-ZA" w:eastAsia="en-ZA"/>
                          </w:rPr>
                        </w:pPr>
                        <w:r w:rsidRPr="00EE6311">
                          <w:rPr>
                            <w:rFonts w:eastAsia="Times New Roman" w:cs="Calibri"/>
                            <w:color w:val="000000"/>
                            <w:sz w:val="18"/>
                            <w:szCs w:val="18"/>
                            <w:lang w:val="en-ZA" w:eastAsia="en-ZA"/>
                          </w:rPr>
                          <w:t>R186 761,36</w:t>
                        </w:r>
                      </w:p>
                    </w:tc>
                    <w:tc>
                      <w:tcPr>
                        <w:tcW w:w="1271"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 </w:t>
                        </w:r>
                      </w:p>
                    </w:tc>
                    <w:tc>
                      <w:tcPr>
                        <w:tcW w:w="850" w:type="dxa"/>
                        <w:shd w:val="clear" w:color="auto" w:fill="auto"/>
                        <w:noWrap/>
                        <w:vAlign w:val="bottom"/>
                        <w:hideMark/>
                      </w:tcPr>
                      <w:p w:rsidR="00EE6311" w:rsidRPr="00EE6311" w:rsidRDefault="00EE6311" w:rsidP="00EE6311">
                        <w:pPr>
                          <w:spacing w:after="0" w:line="240" w:lineRule="auto"/>
                          <w:jc w:val="center"/>
                          <w:rPr>
                            <w:rFonts w:eastAsia="Times New Roman" w:cs="Calibri"/>
                            <w:color w:val="000000"/>
                            <w:sz w:val="18"/>
                            <w:szCs w:val="18"/>
                            <w:lang w:val="en-ZA" w:eastAsia="en-ZA"/>
                          </w:rPr>
                        </w:pPr>
                        <w:r w:rsidRPr="00EE6311">
                          <w:rPr>
                            <w:rFonts w:eastAsia="Times New Roman" w:cs="Calibri"/>
                            <w:color w:val="000000"/>
                            <w:sz w:val="18"/>
                            <w:szCs w:val="18"/>
                            <w:lang w:val="en-ZA" w:eastAsia="en-ZA"/>
                          </w:rPr>
                          <w:t> </w:t>
                        </w:r>
                      </w:p>
                    </w:tc>
                    <w:tc>
                      <w:tcPr>
                        <w:tcW w:w="1423" w:type="dxa"/>
                        <w:shd w:val="clear" w:color="auto" w:fill="auto"/>
                        <w:vAlign w:val="bottom"/>
                        <w:hideMark/>
                      </w:tcPr>
                      <w:p w:rsidR="00EE6311" w:rsidRPr="00EE6311" w:rsidRDefault="00EE6311" w:rsidP="00EE6311">
                        <w:pPr>
                          <w:spacing w:after="0" w:line="240" w:lineRule="auto"/>
                          <w:rPr>
                            <w:rFonts w:eastAsia="Times New Roman" w:cs="Calibri"/>
                            <w:color w:val="000000"/>
                            <w:sz w:val="18"/>
                            <w:szCs w:val="18"/>
                            <w:lang w:val="en-ZA" w:eastAsia="en-ZA"/>
                          </w:rPr>
                        </w:pPr>
                        <w:r w:rsidRPr="00EE6311">
                          <w:rPr>
                            <w:rFonts w:eastAsia="Times New Roman" w:cs="Calibri"/>
                            <w:color w:val="000000"/>
                            <w:sz w:val="18"/>
                            <w:szCs w:val="18"/>
                            <w:lang w:val="en-ZA" w:eastAsia="en-ZA"/>
                          </w:rPr>
                          <w:t> </w:t>
                        </w:r>
                      </w:p>
                    </w:tc>
                  </w:tr>
                </w:tbl>
                <w:p w:rsidR="00EE6311" w:rsidRPr="00E62ADC" w:rsidRDefault="00EE6311" w:rsidP="00545880">
                  <w:pPr>
                    <w:rPr>
                      <w:rFonts w:ascii="Arial" w:hAnsi="Arial" w:cs="Arial"/>
                      <w:b/>
                    </w:rPr>
                  </w:pPr>
                </w:p>
                <w:p w:rsidR="00545880" w:rsidRPr="00E62ADC" w:rsidRDefault="00545880" w:rsidP="00545880">
                  <w:pPr>
                    <w:rPr>
                      <w:rFonts w:ascii="Arial" w:hAnsi="Arial" w:cs="Arial"/>
                    </w:rPr>
                  </w:pPr>
                </w:p>
              </w:tc>
            </w:tr>
            <w:tr w:rsidR="00545880" w:rsidRPr="00E62ADC" w:rsidTr="00EE6311">
              <w:trPr>
                <w:trHeight w:val="420"/>
              </w:trPr>
              <w:tc>
                <w:tcPr>
                  <w:tcW w:w="9492" w:type="dxa"/>
                </w:tcPr>
                <w:p w:rsidR="00E3082D" w:rsidRDefault="00E3082D" w:rsidP="00545880">
                  <w:pPr>
                    <w:rPr>
                      <w:rFonts w:ascii="Arial" w:hAnsi="Arial" w:cs="Arial"/>
                    </w:rPr>
                  </w:pPr>
                </w:p>
                <w:p w:rsidR="00EE6311" w:rsidRDefault="00EE6311" w:rsidP="00545880">
                  <w:pPr>
                    <w:rPr>
                      <w:rFonts w:ascii="Arial" w:hAnsi="Arial" w:cs="Arial"/>
                    </w:rPr>
                  </w:pPr>
                </w:p>
                <w:p w:rsidR="00EE6311" w:rsidRDefault="00EE6311" w:rsidP="00545880">
                  <w:pPr>
                    <w:rPr>
                      <w:rFonts w:ascii="Arial" w:hAnsi="Arial" w:cs="Arial"/>
                    </w:rPr>
                  </w:pPr>
                </w:p>
                <w:p w:rsidR="00E3082D" w:rsidRDefault="00E3082D" w:rsidP="00545880">
                  <w:pPr>
                    <w:rPr>
                      <w:rFonts w:ascii="Arial" w:hAnsi="Arial" w:cs="Arial"/>
                    </w:rPr>
                  </w:pPr>
                </w:p>
                <w:p w:rsidR="00545880" w:rsidRPr="00E62ADC" w:rsidRDefault="00545880" w:rsidP="00545880">
                  <w:pPr>
                    <w:rPr>
                      <w:rFonts w:ascii="Arial" w:hAnsi="Arial" w:cs="Arial"/>
                    </w:rPr>
                  </w:pPr>
                  <w:r w:rsidRPr="00E62ADC">
                    <w:rPr>
                      <w:rFonts w:ascii="Arial" w:hAnsi="Arial" w:cs="Arial"/>
                    </w:rPr>
                    <w:t>Procurement process dispensed of in terms of paragraph 42.1.1 of Policy:</w:t>
                  </w:r>
                </w:p>
              </w:tc>
            </w:tr>
            <w:tr w:rsidR="00545880" w:rsidRPr="00E62ADC" w:rsidTr="00EE6311">
              <w:trPr>
                <w:trHeight w:val="504"/>
              </w:trPr>
              <w:tc>
                <w:tcPr>
                  <w:tcW w:w="9492" w:type="dxa"/>
                </w:tcPr>
                <w:p w:rsidR="00545880" w:rsidRPr="00E62ADC" w:rsidRDefault="00545880" w:rsidP="00545880">
                  <w:pPr>
                    <w:rPr>
                      <w:rFonts w:ascii="Arial" w:hAnsi="Arial" w:cs="Arial"/>
                    </w:rPr>
                  </w:pPr>
                  <w:r w:rsidRPr="00E62ADC">
                    <w:rPr>
                      <w:rFonts w:ascii="Arial" w:hAnsi="Arial" w:cs="Arial"/>
                    </w:rPr>
                    <w:lastRenderedPageBreak/>
                    <w:t>Minor breaches of Procurement Process ratified in terms of paragraph 42.1. 2 of Policy:</w:t>
                  </w:r>
                </w:p>
                <w:p w:rsidR="00545880" w:rsidRPr="00E62ADC" w:rsidRDefault="00545880" w:rsidP="00545880">
                  <w:pPr>
                    <w:rPr>
                      <w:rFonts w:ascii="Arial" w:hAnsi="Arial" w:cs="Arial"/>
                      <w:b/>
                    </w:rPr>
                  </w:pPr>
                </w:p>
                <w:p w:rsidR="00545880" w:rsidRPr="00E62ADC" w:rsidRDefault="00545880" w:rsidP="00545880">
                  <w:pPr>
                    <w:rPr>
                      <w:rFonts w:ascii="Arial" w:hAnsi="Arial" w:cs="Arial"/>
                      <w:b/>
                    </w:rPr>
                  </w:pPr>
                  <w:r w:rsidRPr="00E62ADC">
                    <w:rPr>
                      <w:rFonts w:ascii="Arial" w:hAnsi="Arial" w:cs="Arial"/>
                      <w:b/>
                    </w:rPr>
                    <w:t xml:space="preserve">None </w:t>
                  </w:r>
                </w:p>
                <w:p w:rsidR="00545880" w:rsidRPr="00E62ADC" w:rsidRDefault="00545880" w:rsidP="00545880">
                  <w:pPr>
                    <w:rPr>
                      <w:rFonts w:ascii="Arial" w:hAnsi="Arial" w:cs="Arial"/>
                    </w:rPr>
                  </w:pPr>
                </w:p>
              </w:tc>
            </w:tr>
            <w:tr w:rsidR="00545880" w:rsidRPr="00E62ADC" w:rsidTr="00EE6311">
              <w:trPr>
                <w:trHeight w:val="604"/>
              </w:trPr>
              <w:tc>
                <w:tcPr>
                  <w:tcW w:w="9492" w:type="dxa"/>
                </w:tcPr>
                <w:p w:rsidR="00545880" w:rsidRPr="00E62ADC" w:rsidRDefault="00545880" w:rsidP="00545880">
                  <w:pPr>
                    <w:rPr>
                      <w:rFonts w:ascii="Arial" w:hAnsi="Arial" w:cs="Arial"/>
                    </w:rPr>
                  </w:pPr>
                  <w:r w:rsidRPr="00E62ADC">
                    <w:rPr>
                      <w:rFonts w:ascii="Arial" w:hAnsi="Arial" w:cs="Arial"/>
                    </w:rPr>
                    <w:t>Reasons for deviations as required by paragraph 42.2 of the Policy:</w:t>
                  </w:r>
                </w:p>
                <w:p w:rsidR="00545880" w:rsidRPr="00E62ADC" w:rsidRDefault="00545880" w:rsidP="00545880">
                  <w:pPr>
                    <w:rPr>
                      <w:rFonts w:ascii="Arial" w:hAnsi="Arial" w:cs="Arial"/>
                      <w:b/>
                    </w:rPr>
                  </w:pPr>
                  <w:r w:rsidRPr="00E62ADC">
                    <w:rPr>
                      <w:rFonts w:ascii="Arial" w:hAnsi="Arial" w:cs="Arial"/>
                      <w:b/>
                    </w:rPr>
                    <w:t xml:space="preserve">Refer to point 5 above </w:t>
                  </w:r>
                </w:p>
                <w:p w:rsidR="00545880" w:rsidRPr="00E62ADC" w:rsidRDefault="00545880" w:rsidP="00545880">
                  <w:pPr>
                    <w:rPr>
                      <w:rFonts w:ascii="Arial" w:hAnsi="Arial" w:cs="Arial"/>
                      <w:b/>
                    </w:rPr>
                  </w:pPr>
                </w:p>
              </w:tc>
            </w:tr>
          </w:tbl>
          <w:p w:rsidR="00AE511D" w:rsidRPr="00E62ADC" w:rsidRDefault="00AE511D" w:rsidP="00AE511D">
            <w:pPr>
              <w:widowControl w:val="0"/>
              <w:autoSpaceDE w:val="0"/>
              <w:autoSpaceDN w:val="0"/>
              <w:spacing w:after="0" w:line="240" w:lineRule="auto"/>
              <w:jc w:val="both"/>
              <w:rPr>
                <w:rFonts w:ascii="Arial" w:eastAsia="Arial" w:hAnsi="Arial" w:cs="Arial"/>
                <w:sz w:val="20"/>
                <w:szCs w:val="20"/>
              </w:rPr>
            </w:pPr>
          </w:p>
          <w:p w:rsidR="00545880" w:rsidRPr="00E3082D" w:rsidRDefault="00545880" w:rsidP="00545880">
            <w:pPr>
              <w:spacing w:before="2" w:line="360" w:lineRule="auto"/>
              <w:ind w:left="-5" w:right="425"/>
              <w:jc w:val="both"/>
              <w:rPr>
                <w:rFonts w:ascii="Arial" w:eastAsia="Arial" w:hAnsi="Arial" w:cs="Arial"/>
                <w:b/>
              </w:rPr>
            </w:pPr>
            <w:r w:rsidRPr="00E3082D">
              <w:rPr>
                <w:rFonts w:ascii="Arial" w:eastAsia="Arial" w:hAnsi="Arial" w:cs="Arial"/>
                <w:b/>
              </w:rPr>
              <w:t xml:space="preserve">5.4 </w:t>
            </w:r>
            <w:r w:rsidR="00FF0527" w:rsidRPr="00E3082D">
              <w:rPr>
                <w:rFonts w:ascii="Arial" w:eastAsia="Arial" w:hAnsi="Arial" w:cs="Arial"/>
                <w:b/>
                <w:lang w:val="en-ZA"/>
              </w:rPr>
              <w:t>Unauthorised, Irregular, Fruitless and Wasteful expenditure</w:t>
            </w:r>
            <w:r w:rsidRPr="00E3082D">
              <w:rPr>
                <w:rFonts w:ascii="Arial" w:eastAsia="Arial" w:hAnsi="Arial" w:cs="Arial"/>
                <w:b/>
              </w:rPr>
              <w:t xml:space="preserve"> </w:t>
            </w:r>
          </w:p>
          <w:p w:rsidR="00545880" w:rsidRPr="00F61CDB" w:rsidRDefault="00964E96" w:rsidP="00F61CDB">
            <w:pPr>
              <w:spacing w:before="2" w:line="360" w:lineRule="auto"/>
              <w:ind w:left="-5" w:right="425"/>
              <w:jc w:val="both"/>
              <w:rPr>
                <w:rFonts w:ascii="Arial" w:eastAsia="Arial" w:hAnsi="Arial" w:cs="Arial"/>
                <w:b/>
                <w:sz w:val="20"/>
                <w:szCs w:val="20"/>
                <w:lang w:val="en-ZA"/>
              </w:rPr>
            </w:pPr>
            <w:r w:rsidRPr="00E62ADC">
              <w:rPr>
                <w:rFonts w:ascii="Arial" w:eastAsia="Arial" w:hAnsi="Arial" w:cs="Arial"/>
                <w:sz w:val="20"/>
                <w:szCs w:val="20"/>
                <w:lang w:val="en-ZA"/>
              </w:rPr>
              <w:t>In terms of MFMA Act 56 of 2003 section 36 t</w:t>
            </w:r>
            <w:r w:rsidR="00545880" w:rsidRPr="00E62ADC">
              <w:rPr>
                <w:rFonts w:ascii="Arial" w:eastAsia="Arial" w:hAnsi="Arial" w:cs="Arial"/>
                <w:sz w:val="20"/>
                <w:szCs w:val="20"/>
                <w:lang w:val="en-ZA"/>
              </w:rPr>
              <w:t xml:space="preserve">he accounting officer must promptly inform the Mayor, the MEC for Local government and Auditor General in writing of any Unauthorised, Irregular, Fruitless and Wasteful expenditure incurred. Irregular expenditure attached as </w:t>
            </w:r>
            <w:r w:rsidR="00F61CDB">
              <w:rPr>
                <w:rFonts w:ascii="Arial" w:eastAsia="Arial" w:hAnsi="Arial" w:cs="Arial"/>
                <w:b/>
                <w:sz w:val="20"/>
                <w:szCs w:val="20"/>
                <w:lang w:val="en-ZA"/>
              </w:rPr>
              <w:t>A</w:t>
            </w:r>
            <w:r w:rsidR="00545880" w:rsidRPr="00F61CDB">
              <w:rPr>
                <w:rFonts w:ascii="Arial" w:eastAsia="Arial" w:hAnsi="Arial" w:cs="Arial"/>
                <w:b/>
                <w:sz w:val="20"/>
                <w:szCs w:val="20"/>
                <w:lang w:val="en-ZA"/>
              </w:rPr>
              <w:t>nnexure</w:t>
            </w:r>
            <w:r w:rsidR="009029F6">
              <w:rPr>
                <w:rFonts w:ascii="Arial" w:eastAsia="Arial" w:hAnsi="Arial" w:cs="Arial"/>
                <w:b/>
                <w:sz w:val="20"/>
                <w:szCs w:val="20"/>
                <w:lang w:val="en-ZA"/>
              </w:rPr>
              <w:t xml:space="preserve"> ’D</w:t>
            </w:r>
            <w:r w:rsidR="00657DE5">
              <w:rPr>
                <w:rFonts w:ascii="Arial" w:eastAsia="Arial" w:hAnsi="Arial" w:cs="Arial"/>
                <w:b/>
                <w:sz w:val="20"/>
                <w:szCs w:val="20"/>
                <w:lang w:val="en-ZA"/>
              </w:rPr>
              <w:t>1</w:t>
            </w:r>
            <w:r w:rsidR="00F61CDB">
              <w:rPr>
                <w:rFonts w:ascii="Arial" w:eastAsia="Arial" w:hAnsi="Arial" w:cs="Arial"/>
                <w:b/>
                <w:sz w:val="20"/>
                <w:szCs w:val="20"/>
                <w:lang w:val="en-ZA"/>
              </w:rPr>
              <w:t>”</w:t>
            </w:r>
            <w:r w:rsidR="00657DE5">
              <w:rPr>
                <w:rFonts w:ascii="Arial" w:eastAsia="Arial" w:hAnsi="Arial" w:cs="Arial"/>
                <w:b/>
                <w:sz w:val="20"/>
                <w:szCs w:val="20"/>
                <w:lang w:val="en-ZA"/>
              </w:rPr>
              <w:t xml:space="preserve"> and Fruitless and Wasteful expenditure “</w:t>
            </w:r>
            <w:bookmarkStart w:id="0" w:name="_GoBack"/>
            <w:bookmarkEnd w:id="0"/>
            <w:r w:rsidR="00657DE5">
              <w:rPr>
                <w:rFonts w:ascii="Arial" w:eastAsia="Arial" w:hAnsi="Arial" w:cs="Arial"/>
                <w:b/>
                <w:sz w:val="20"/>
                <w:szCs w:val="20"/>
                <w:lang w:val="en-ZA"/>
              </w:rPr>
              <w:t>D2”</w:t>
            </w:r>
          </w:p>
          <w:p w:rsidR="00FF0527" w:rsidRPr="00E3082D" w:rsidRDefault="00FF0527" w:rsidP="00545880">
            <w:pPr>
              <w:spacing w:before="2" w:line="360" w:lineRule="auto"/>
              <w:ind w:left="-5" w:right="425"/>
              <w:jc w:val="both"/>
              <w:rPr>
                <w:rFonts w:ascii="Arial" w:eastAsia="Arial" w:hAnsi="Arial" w:cs="Arial"/>
                <w:b/>
                <w:sz w:val="20"/>
                <w:szCs w:val="20"/>
                <w:lang w:val="en-ZA"/>
              </w:rPr>
            </w:pPr>
            <w:r w:rsidRPr="00E3082D">
              <w:rPr>
                <w:rFonts w:ascii="Arial" w:eastAsia="Arial" w:hAnsi="Arial" w:cs="Arial"/>
                <w:b/>
                <w:sz w:val="20"/>
                <w:szCs w:val="20"/>
                <w:lang w:val="en-ZA"/>
              </w:rPr>
              <w:t xml:space="preserve">5.4.1 Unauthorised Expenditure </w:t>
            </w:r>
          </w:p>
          <w:p w:rsidR="00FF0527" w:rsidRPr="00E62ADC" w:rsidRDefault="00E3082D" w:rsidP="00545880">
            <w:pPr>
              <w:spacing w:before="2" w:line="360" w:lineRule="auto"/>
              <w:ind w:left="-5" w:right="425"/>
              <w:jc w:val="both"/>
              <w:rPr>
                <w:rFonts w:ascii="Arial" w:eastAsia="Arial" w:hAnsi="Arial" w:cs="Arial"/>
                <w:sz w:val="20"/>
                <w:szCs w:val="20"/>
                <w:lang w:val="en-ZA"/>
              </w:rPr>
            </w:pPr>
            <w:r>
              <w:rPr>
                <w:rFonts w:ascii="Arial" w:eastAsia="Arial" w:hAnsi="Arial" w:cs="Arial"/>
                <w:sz w:val="20"/>
                <w:szCs w:val="20"/>
                <w:lang w:val="en-ZA"/>
              </w:rPr>
              <w:t xml:space="preserve">There is no unauthorised expenditure </w:t>
            </w:r>
            <w:r w:rsidR="008A101D">
              <w:rPr>
                <w:rFonts w:ascii="Arial" w:eastAsia="Arial" w:hAnsi="Arial" w:cs="Arial"/>
                <w:sz w:val="20"/>
                <w:szCs w:val="20"/>
                <w:lang w:val="en-ZA"/>
              </w:rPr>
              <w:t xml:space="preserve"> incurred by the Municipality for </w:t>
            </w:r>
            <w:r>
              <w:rPr>
                <w:rFonts w:ascii="Arial" w:eastAsia="Arial" w:hAnsi="Arial" w:cs="Arial"/>
                <w:sz w:val="20"/>
                <w:szCs w:val="20"/>
                <w:lang w:val="en-ZA"/>
              </w:rPr>
              <w:t xml:space="preserve">this quarter  </w:t>
            </w:r>
          </w:p>
          <w:p w:rsidR="00FF0527" w:rsidRPr="00E3082D" w:rsidRDefault="00FF0527" w:rsidP="00545880">
            <w:pPr>
              <w:spacing w:before="2" w:line="360" w:lineRule="auto"/>
              <w:ind w:left="-5" w:right="425"/>
              <w:jc w:val="both"/>
              <w:rPr>
                <w:rFonts w:ascii="Arial" w:eastAsia="Arial" w:hAnsi="Arial" w:cs="Arial"/>
                <w:b/>
                <w:sz w:val="20"/>
                <w:szCs w:val="20"/>
                <w:lang w:val="en-ZA"/>
              </w:rPr>
            </w:pPr>
            <w:r w:rsidRPr="00E3082D">
              <w:rPr>
                <w:rFonts w:ascii="Arial" w:eastAsia="Arial" w:hAnsi="Arial" w:cs="Arial"/>
                <w:b/>
                <w:sz w:val="20"/>
                <w:szCs w:val="20"/>
                <w:lang w:val="en-ZA"/>
              </w:rPr>
              <w:t xml:space="preserve">5.4.2 Irregular Expenditure </w:t>
            </w:r>
          </w:p>
          <w:p w:rsidR="00545880" w:rsidRPr="00545880" w:rsidRDefault="00E3082D" w:rsidP="00964E96">
            <w:pPr>
              <w:spacing w:before="2" w:line="360" w:lineRule="auto"/>
              <w:jc w:val="both"/>
              <w:rPr>
                <w:rFonts w:ascii="Arial" w:eastAsia="Arial" w:hAnsi="Arial" w:cs="Arial"/>
                <w:b/>
                <w:u w:val="single"/>
                <w:lang w:val="en-ZA"/>
              </w:rPr>
            </w:pPr>
            <w:r>
              <w:rPr>
                <w:rFonts w:ascii="Arial" w:eastAsia="Arial" w:hAnsi="Arial" w:cs="Arial"/>
                <w:b/>
                <w:u w:val="single"/>
                <w:lang w:val="en-ZA"/>
              </w:rPr>
              <w:t>T</w:t>
            </w:r>
            <w:r w:rsidRPr="00E3082D">
              <w:rPr>
                <w:rFonts w:ascii="Arial" w:eastAsia="Arial" w:hAnsi="Arial" w:cs="Arial"/>
                <w:b/>
                <w:u w:val="single"/>
                <w:lang w:val="en-ZA"/>
              </w:rPr>
              <w:t xml:space="preserve">able </w:t>
            </w:r>
            <w:r w:rsidR="00A26EC1">
              <w:rPr>
                <w:rFonts w:ascii="Arial" w:eastAsia="Arial" w:hAnsi="Arial" w:cs="Arial"/>
                <w:b/>
                <w:u w:val="single"/>
                <w:lang w:val="en-ZA"/>
              </w:rPr>
              <w:t>5.4.2.1</w:t>
            </w:r>
            <w:r w:rsidR="00EE6311">
              <w:rPr>
                <w:rFonts w:ascii="Arial" w:eastAsia="Arial" w:hAnsi="Arial" w:cs="Arial"/>
                <w:b/>
                <w:u w:val="single"/>
                <w:lang w:val="en-ZA"/>
              </w:rPr>
              <w:t xml:space="preserve"> Third </w:t>
            </w:r>
            <w:r w:rsidRPr="00E3082D">
              <w:rPr>
                <w:rFonts w:ascii="Arial" w:eastAsia="Arial" w:hAnsi="Arial" w:cs="Arial"/>
                <w:b/>
                <w:u w:val="single"/>
                <w:lang w:val="en-ZA"/>
              </w:rPr>
              <w:t xml:space="preserve"> quarter irregular expenditure for 2021-2022</w:t>
            </w:r>
          </w:p>
          <w:tbl>
            <w:tblPr>
              <w:tblW w:w="9017" w:type="dxa"/>
              <w:tblInd w:w="90" w:type="dxa"/>
              <w:tblLayout w:type="fixed"/>
              <w:tblLook w:val="04A0" w:firstRow="1" w:lastRow="0" w:firstColumn="1" w:lastColumn="0" w:noHBand="0" w:noVBand="1"/>
            </w:tblPr>
            <w:tblGrid>
              <w:gridCol w:w="1464"/>
              <w:gridCol w:w="2005"/>
              <w:gridCol w:w="1407"/>
              <w:gridCol w:w="2144"/>
              <w:gridCol w:w="1997"/>
            </w:tblGrid>
            <w:tr w:rsidR="00FF0527" w:rsidRPr="00FF0527" w:rsidTr="00E96635">
              <w:trPr>
                <w:trHeight w:val="60"/>
              </w:trPr>
              <w:tc>
                <w:tcPr>
                  <w:tcW w:w="1464" w:type="dxa"/>
                  <w:tcBorders>
                    <w:top w:val="nil"/>
                    <w:left w:val="nil"/>
                    <w:bottom w:val="nil"/>
                    <w:right w:val="nil"/>
                  </w:tcBorders>
                  <w:shd w:val="clear" w:color="auto" w:fill="auto"/>
                  <w:noWrap/>
                  <w:vAlign w:val="bottom"/>
                </w:tcPr>
                <w:p w:rsidR="00FF0527" w:rsidRPr="00FF0527" w:rsidRDefault="00FF0527" w:rsidP="00FF0527">
                  <w:pPr>
                    <w:spacing w:after="0" w:line="240" w:lineRule="auto"/>
                    <w:rPr>
                      <w:rFonts w:ascii="Arial" w:eastAsia="Times New Roman" w:hAnsi="Arial" w:cs="Arial"/>
                      <w:sz w:val="20"/>
                      <w:szCs w:val="20"/>
                      <w:lang w:val="en-ZA" w:eastAsia="en-ZA"/>
                    </w:rPr>
                  </w:pPr>
                </w:p>
              </w:tc>
              <w:tc>
                <w:tcPr>
                  <w:tcW w:w="2005" w:type="dxa"/>
                  <w:tcBorders>
                    <w:top w:val="nil"/>
                    <w:left w:val="nil"/>
                    <w:bottom w:val="nil"/>
                    <w:right w:val="nil"/>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sz w:val="20"/>
                      <w:szCs w:val="20"/>
                      <w:lang w:val="en-ZA" w:eastAsia="en-ZA"/>
                    </w:rPr>
                  </w:pPr>
                </w:p>
              </w:tc>
              <w:tc>
                <w:tcPr>
                  <w:tcW w:w="1407" w:type="dxa"/>
                  <w:tcBorders>
                    <w:top w:val="nil"/>
                    <w:left w:val="nil"/>
                    <w:bottom w:val="nil"/>
                    <w:right w:val="nil"/>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sz w:val="20"/>
                      <w:szCs w:val="20"/>
                      <w:lang w:val="en-ZA" w:eastAsia="en-ZA"/>
                    </w:rPr>
                  </w:pPr>
                </w:p>
              </w:tc>
              <w:tc>
                <w:tcPr>
                  <w:tcW w:w="2144" w:type="dxa"/>
                  <w:tcBorders>
                    <w:top w:val="nil"/>
                    <w:left w:val="nil"/>
                    <w:bottom w:val="nil"/>
                    <w:right w:val="nil"/>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sz w:val="20"/>
                      <w:szCs w:val="20"/>
                      <w:lang w:val="en-ZA" w:eastAsia="en-ZA"/>
                    </w:rPr>
                  </w:pPr>
                </w:p>
              </w:tc>
              <w:tc>
                <w:tcPr>
                  <w:tcW w:w="1997" w:type="dxa"/>
                  <w:tcBorders>
                    <w:top w:val="nil"/>
                    <w:left w:val="nil"/>
                    <w:bottom w:val="nil"/>
                    <w:right w:val="nil"/>
                  </w:tcBorders>
                  <w:shd w:val="clear" w:color="auto" w:fill="auto"/>
                  <w:noWrap/>
                  <w:vAlign w:val="bottom"/>
                  <w:hideMark/>
                </w:tcPr>
                <w:p w:rsidR="00FF0527" w:rsidRPr="00FF0527" w:rsidRDefault="00FF0527" w:rsidP="00FF0527">
                  <w:pPr>
                    <w:spacing w:after="0" w:line="240" w:lineRule="auto"/>
                    <w:rPr>
                      <w:rFonts w:ascii="Arial" w:eastAsia="Times New Roman" w:hAnsi="Arial" w:cs="Arial"/>
                      <w:sz w:val="20"/>
                      <w:szCs w:val="20"/>
                      <w:lang w:val="en-ZA" w:eastAsia="en-ZA"/>
                    </w:rPr>
                  </w:pPr>
                </w:p>
              </w:tc>
            </w:tr>
            <w:tr w:rsidR="00E96635" w:rsidRPr="00FF0527" w:rsidTr="00E96635">
              <w:trPr>
                <w:trHeight w:val="290"/>
              </w:trPr>
              <w:tc>
                <w:tcPr>
                  <w:tcW w:w="9017" w:type="dxa"/>
                  <w:gridSpan w:val="5"/>
                  <w:tcBorders>
                    <w:top w:val="single" w:sz="8" w:space="0" w:color="auto"/>
                    <w:left w:val="single" w:sz="8" w:space="0" w:color="auto"/>
                    <w:bottom w:val="single" w:sz="4" w:space="0" w:color="auto"/>
                    <w:right w:val="single" w:sz="8" w:space="0" w:color="000000"/>
                  </w:tcBorders>
                  <w:shd w:val="clear" w:color="auto" w:fill="auto"/>
                  <w:hideMark/>
                </w:tcPr>
                <w:p w:rsidR="00E96635" w:rsidRPr="00D60D30" w:rsidRDefault="00E96635" w:rsidP="00E96635">
                  <w:r w:rsidRPr="00D60D30">
                    <w:t>IRREGULAR EXPENDITURE  FROM  1ST  JULY 2021 - 31 March   2022</w:t>
                  </w:r>
                </w:p>
              </w:tc>
            </w:tr>
            <w:tr w:rsidR="00E96635" w:rsidRPr="00FF0527" w:rsidTr="00E96635">
              <w:trPr>
                <w:trHeight w:val="782"/>
              </w:trPr>
              <w:tc>
                <w:tcPr>
                  <w:tcW w:w="1464" w:type="dxa"/>
                  <w:tcBorders>
                    <w:top w:val="nil"/>
                    <w:left w:val="single" w:sz="8" w:space="0" w:color="auto"/>
                    <w:bottom w:val="single" w:sz="4" w:space="0" w:color="auto"/>
                    <w:right w:val="single" w:sz="4" w:space="0" w:color="auto"/>
                  </w:tcBorders>
                  <w:shd w:val="clear" w:color="auto" w:fill="auto"/>
                  <w:noWrap/>
                  <w:hideMark/>
                </w:tcPr>
                <w:p w:rsidR="00E96635" w:rsidRPr="00D60D30" w:rsidRDefault="00E96635" w:rsidP="00E96635">
                  <w:r w:rsidRPr="00D60D30">
                    <w:t>Supplier Name</w:t>
                  </w:r>
                </w:p>
              </w:tc>
              <w:tc>
                <w:tcPr>
                  <w:tcW w:w="2005" w:type="dxa"/>
                  <w:tcBorders>
                    <w:top w:val="nil"/>
                    <w:left w:val="nil"/>
                    <w:bottom w:val="single" w:sz="4" w:space="0" w:color="auto"/>
                    <w:right w:val="single" w:sz="4" w:space="0" w:color="auto"/>
                  </w:tcBorders>
                  <w:shd w:val="clear" w:color="auto" w:fill="auto"/>
                  <w:hideMark/>
                </w:tcPr>
                <w:p w:rsidR="00E96635" w:rsidRPr="00D60D30" w:rsidRDefault="00E96635" w:rsidP="00E96635">
                  <w:r w:rsidRPr="00D60D30">
                    <w:t xml:space="preserve"> Expenditure incurred  </w:t>
                  </w:r>
                </w:p>
              </w:tc>
              <w:tc>
                <w:tcPr>
                  <w:tcW w:w="1407" w:type="dxa"/>
                  <w:tcBorders>
                    <w:top w:val="nil"/>
                    <w:left w:val="nil"/>
                    <w:bottom w:val="single" w:sz="4" w:space="0" w:color="auto"/>
                    <w:right w:val="single" w:sz="4" w:space="0" w:color="auto"/>
                  </w:tcBorders>
                  <w:shd w:val="clear" w:color="auto" w:fill="auto"/>
                  <w:hideMark/>
                </w:tcPr>
                <w:p w:rsidR="00E96635" w:rsidRPr="00D60D30" w:rsidRDefault="00E96635" w:rsidP="00E96635">
                  <w:r w:rsidRPr="00D60D30">
                    <w:t>Legislation transgressed against</w:t>
                  </w:r>
                </w:p>
              </w:tc>
              <w:tc>
                <w:tcPr>
                  <w:tcW w:w="2144" w:type="dxa"/>
                  <w:tcBorders>
                    <w:top w:val="nil"/>
                    <w:left w:val="nil"/>
                    <w:bottom w:val="single" w:sz="4" w:space="0" w:color="auto"/>
                    <w:right w:val="single" w:sz="4" w:space="0" w:color="auto"/>
                  </w:tcBorders>
                  <w:shd w:val="clear" w:color="auto" w:fill="auto"/>
                  <w:hideMark/>
                </w:tcPr>
                <w:p w:rsidR="00E96635" w:rsidRPr="00D60D30" w:rsidRDefault="00E96635" w:rsidP="00E96635">
                  <w:r w:rsidRPr="00D60D30">
                    <w:t xml:space="preserve">Reason for Transgression </w:t>
                  </w:r>
                </w:p>
              </w:tc>
              <w:tc>
                <w:tcPr>
                  <w:tcW w:w="1997" w:type="dxa"/>
                  <w:tcBorders>
                    <w:top w:val="nil"/>
                    <w:left w:val="nil"/>
                    <w:bottom w:val="single" w:sz="4" w:space="0" w:color="auto"/>
                    <w:right w:val="single" w:sz="8" w:space="0" w:color="auto"/>
                  </w:tcBorders>
                  <w:shd w:val="clear" w:color="auto" w:fill="auto"/>
                  <w:noWrap/>
                  <w:hideMark/>
                </w:tcPr>
                <w:p w:rsidR="00E96635" w:rsidRPr="00D60D30" w:rsidRDefault="00E96635" w:rsidP="00E96635">
                  <w:r w:rsidRPr="00D60D30">
                    <w:t xml:space="preserve">Services </w:t>
                  </w:r>
                </w:p>
              </w:tc>
            </w:tr>
            <w:tr w:rsidR="00E96635" w:rsidRPr="00FF0527" w:rsidTr="00E96635">
              <w:trPr>
                <w:trHeight w:val="1591"/>
              </w:trPr>
              <w:tc>
                <w:tcPr>
                  <w:tcW w:w="1464" w:type="dxa"/>
                  <w:tcBorders>
                    <w:top w:val="nil"/>
                    <w:left w:val="single" w:sz="8" w:space="0" w:color="auto"/>
                    <w:bottom w:val="single" w:sz="4" w:space="0" w:color="auto"/>
                    <w:right w:val="single" w:sz="4" w:space="0" w:color="auto"/>
                  </w:tcBorders>
                  <w:shd w:val="clear" w:color="auto" w:fill="auto"/>
                  <w:noWrap/>
                  <w:hideMark/>
                </w:tcPr>
                <w:p w:rsidR="00E96635" w:rsidRPr="00D60D30" w:rsidRDefault="00E96635" w:rsidP="00E96635">
                  <w:r w:rsidRPr="00D60D30">
                    <w:t xml:space="preserve">Bidvest Bank </w:t>
                  </w:r>
                </w:p>
              </w:tc>
              <w:tc>
                <w:tcPr>
                  <w:tcW w:w="2005" w:type="dxa"/>
                  <w:tcBorders>
                    <w:top w:val="nil"/>
                    <w:left w:val="nil"/>
                    <w:bottom w:val="single" w:sz="4" w:space="0" w:color="auto"/>
                    <w:right w:val="nil"/>
                  </w:tcBorders>
                  <w:shd w:val="clear" w:color="auto" w:fill="auto"/>
                  <w:noWrap/>
                  <w:hideMark/>
                </w:tcPr>
                <w:p w:rsidR="00E96635" w:rsidRPr="00D60D30" w:rsidRDefault="00E96635" w:rsidP="00E96635">
                  <w:r w:rsidRPr="00D60D30">
                    <w:t xml:space="preserve"> R3 097 739,87 </w:t>
                  </w:r>
                </w:p>
              </w:tc>
              <w:tc>
                <w:tcPr>
                  <w:tcW w:w="1407" w:type="dxa"/>
                  <w:tcBorders>
                    <w:top w:val="nil"/>
                    <w:left w:val="single" w:sz="4" w:space="0" w:color="auto"/>
                    <w:bottom w:val="single" w:sz="4" w:space="0" w:color="auto"/>
                    <w:right w:val="single" w:sz="4" w:space="0" w:color="auto"/>
                  </w:tcBorders>
                  <w:shd w:val="clear" w:color="auto" w:fill="auto"/>
                  <w:noWrap/>
                  <w:hideMark/>
                </w:tcPr>
                <w:p w:rsidR="00E96635" w:rsidRPr="00D60D30" w:rsidRDefault="00E96635" w:rsidP="00E96635">
                  <w:r w:rsidRPr="00D60D30">
                    <w:t>SCM Reg 32</w:t>
                  </w:r>
                </w:p>
              </w:tc>
              <w:tc>
                <w:tcPr>
                  <w:tcW w:w="2144" w:type="dxa"/>
                  <w:tcBorders>
                    <w:top w:val="nil"/>
                    <w:left w:val="nil"/>
                    <w:bottom w:val="single" w:sz="4" w:space="0" w:color="auto"/>
                    <w:right w:val="single" w:sz="4" w:space="0" w:color="auto"/>
                  </w:tcBorders>
                  <w:shd w:val="clear" w:color="auto" w:fill="auto"/>
                  <w:hideMark/>
                </w:tcPr>
                <w:p w:rsidR="00E96635" w:rsidRPr="00D60D30" w:rsidRDefault="00E96635" w:rsidP="00E96635">
                  <w:r w:rsidRPr="00D60D30">
                    <w:t xml:space="preserve">Appointed using Regulation 32 instead of Bidding Process </w:t>
                  </w:r>
                </w:p>
              </w:tc>
              <w:tc>
                <w:tcPr>
                  <w:tcW w:w="1997" w:type="dxa"/>
                  <w:tcBorders>
                    <w:top w:val="nil"/>
                    <w:left w:val="nil"/>
                    <w:bottom w:val="single" w:sz="4" w:space="0" w:color="auto"/>
                    <w:right w:val="single" w:sz="8" w:space="0" w:color="auto"/>
                  </w:tcBorders>
                  <w:shd w:val="clear" w:color="auto" w:fill="auto"/>
                  <w:noWrap/>
                  <w:hideMark/>
                </w:tcPr>
                <w:p w:rsidR="00E96635" w:rsidRPr="00D60D30" w:rsidRDefault="00E96635" w:rsidP="00E96635">
                  <w:r w:rsidRPr="00D60D30">
                    <w:t xml:space="preserve">Rental of Fleet </w:t>
                  </w:r>
                </w:p>
              </w:tc>
            </w:tr>
            <w:tr w:rsidR="00E96635" w:rsidRPr="00FF0527" w:rsidTr="00E96635">
              <w:trPr>
                <w:trHeight w:val="300"/>
              </w:trPr>
              <w:tc>
                <w:tcPr>
                  <w:tcW w:w="1464" w:type="dxa"/>
                  <w:tcBorders>
                    <w:top w:val="single" w:sz="4" w:space="0" w:color="auto"/>
                    <w:left w:val="single" w:sz="8" w:space="0" w:color="auto"/>
                    <w:bottom w:val="single" w:sz="4" w:space="0" w:color="auto"/>
                    <w:right w:val="single" w:sz="4" w:space="0" w:color="auto"/>
                  </w:tcBorders>
                  <w:shd w:val="clear" w:color="auto" w:fill="auto"/>
                  <w:noWrap/>
                  <w:hideMark/>
                </w:tcPr>
                <w:p w:rsidR="00E96635" w:rsidRPr="00D60D30" w:rsidRDefault="00E96635" w:rsidP="00E96635">
                  <w:r w:rsidRPr="00D60D30">
                    <w:t>Kgotso Mokone</w:t>
                  </w:r>
                </w:p>
              </w:tc>
              <w:tc>
                <w:tcPr>
                  <w:tcW w:w="2005" w:type="dxa"/>
                  <w:tcBorders>
                    <w:top w:val="single" w:sz="4" w:space="0" w:color="auto"/>
                    <w:left w:val="nil"/>
                    <w:bottom w:val="single" w:sz="4" w:space="0" w:color="auto"/>
                    <w:right w:val="single" w:sz="4" w:space="0" w:color="auto"/>
                  </w:tcBorders>
                  <w:shd w:val="clear" w:color="auto" w:fill="auto"/>
                  <w:noWrap/>
                  <w:hideMark/>
                </w:tcPr>
                <w:p w:rsidR="00E96635" w:rsidRPr="00D60D30" w:rsidRDefault="00E96635" w:rsidP="00E96635">
                  <w:r w:rsidRPr="00D60D30">
                    <w:t xml:space="preserve"> R5 157 896,27 </w:t>
                  </w:r>
                </w:p>
              </w:tc>
              <w:tc>
                <w:tcPr>
                  <w:tcW w:w="1407" w:type="dxa"/>
                  <w:tcBorders>
                    <w:top w:val="single" w:sz="4" w:space="0" w:color="auto"/>
                    <w:left w:val="nil"/>
                    <w:bottom w:val="single" w:sz="4" w:space="0" w:color="auto"/>
                    <w:right w:val="single" w:sz="4" w:space="0" w:color="auto"/>
                  </w:tcBorders>
                  <w:shd w:val="clear" w:color="auto" w:fill="auto"/>
                  <w:noWrap/>
                  <w:hideMark/>
                </w:tcPr>
                <w:p w:rsidR="00E96635" w:rsidRPr="00D60D30" w:rsidRDefault="00E96635" w:rsidP="00E96635">
                  <w:r w:rsidRPr="00D60D30">
                    <w:t>PPR 9(1)</w:t>
                  </w:r>
                </w:p>
              </w:tc>
              <w:tc>
                <w:tcPr>
                  <w:tcW w:w="2144" w:type="dxa"/>
                  <w:tcBorders>
                    <w:top w:val="single" w:sz="4" w:space="0" w:color="auto"/>
                    <w:left w:val="nil"/>
                    <w:bottom w:val="single" w:sz="4" w:space="0" w:color="auto"/>
                    <w:right w:val="single" w:sz="4" w:space="0" w:color="auto"/>
                  </w:tcBorders>
                  <w:shd w:val="clear" w:color="auto" w:fill="auto"/>
                  <w:noWrap/>
                  <w:hideMark/>
                </w:tcPr>
                <w:p w:rsidR="00E96635" w:rsidRPr="00D60D30" w:rsidRDefault="00E96635" w:rsidP="00E96635">
                  <w:r w:rsidRPr="00D60D30">
                    <w:t>  No mandatory subcontracting conditions included in the bid document for tender above R30 Million</w:t>
                  </w:r>
                </w:p>
              </w:tc>
              <w:tc>
                <w:tcPr>
                  <w:tcW w:w="1997" w:type="dxa"/>
                  <w:tcBorders>
                    <w:top w:val="single" w:sz="4" w:space="0" w:color="auto"/>
                    <w:left w:val="nil"/>
                    <w:bottom w:val="single" w:sz="4" w:space="0" w:color="auto"/>
                    <w:right w:val="single" w:sz="8" w:space="0" w:color="auto"/>
                  </w:tcBorders>
                  <w:shd w:val="clear" w:color="auto" w:fill="auto"/>
                  <w:noWrap/>
                  <w:hideMark/>
                </w:tcPr>
                <w:p w:rsidR="00E96635" w:rsidRPr="00D60D30" w:rsidRDefault="00E96635" w:rsidP="00E96635">
                  <w:r w:rsidRPr="00D60D30">
                    <w:t xml:space="preserve">Moloto Water Infrastructure  </w:t>
                  </w:r>
                </w:p>
              </w:tc>
            </w:tr>
            <w:tr w:rsidR="00E96635" w:rsidRPr="00E62ADC" w:rsidTr="00E96635">
              <w:trPr>
                <w:trHeight w:val="300"/>
              </w:trPr>
              <w:tc>
                <w:tcPr>
                  <w:tcW w:w="1464" w:type="dxa"/>
                  <w:tcBorders>
                    <w:top w:val="single" w:sz="4" w:space="0" w:color="auto"/>
                    <w:left w:val="single" w:sz="8" w:space="0" w:color="auto"/>
                    <w:bottom w:val="single" w:sz="8" w:space="0" w:color="auto"/>
                    <w:right w:val="single" w:sz="4" w:space="0" w:color="auto"/>
                  </w:tcBorders>
                  <w:shd w:val="clear" w:color="auto" w:fill="auto"/>
                  <w:noWrap/>
                </w:tcPr>
                <w:p w:rsidR="00E96635" w:rsidRPr="00D60D30" w:rsidRDefault="00E96635" w:rsidP="00E96635">
                  <w:r w:rsidRPr="00D60D30">
                    <w:t>Jasino General Services</w:t>
                  </w:r>
                </w:p>
              </w:tc>
              <w:tc>
                <w:tcPr>
                  <w:tcW w:w="2005" w:type="dxa"/>
                  <w:tcBorders>
                    <w:top w:val="single" w:sz="4" w:space="0" w:color="auto"/>
                    <w:left w:val="nil"/>
                    <w:bottom w:val="single" w:sz="8" w:space="0" w:color="auto"/>
                    <w:right w:val="single" w:sz="4" w:space="0" w:color="auto"/>
                  </w:tcBorders>
                  <w:shd w:val="clear" w:color="auto" w:fill="auto"/>
                  <w:noWrap/>
                </w:tcPr>
                <w:p w:rsidR="00E96635" w:rsidRPr="00D60D30" w:rsidRDefault="00E96635" w:rsidP="00E96635">
                  <w:r w:rsidRPr="00D60D30">
                    <w:t xml:space="preserve"> R5 974 806,74 </w:t>
                  </w:r>
                </w:p>
              </w:tc>
              <w:tc>
                <w:tcPr>
                  <w:tcW w:w="1407" w:type="dxa"/>
                  <w:tcBorders>
                    <w:top w:val="single" w:sz="4" w:space="0" w:color="auto"/>
                    <w:left w:val="nil"/>
                    <w:bottom w:val="single" w:sz="8" w:space="0" w:color="auto"/>
                    <w:right w:val="single" w:sz="4" w:space="0" w:color="auto"/>
                  </w:tcBorders>
                  <w:shd w:val="clear" w:color="auto" w:fill="auto"/>
                  <w:noWrap/>
                </w:tcPr>
                <w:p w:rsidR="00E96635" w:rsidRPr="00D60D30" w:rsidRDefault="00E96635" w:rsidP="00E96635">
                  <w:r w:rsidRPr="00D60D30">
                    <w:t>CIDB reg 17</w:t>
                  </w:r>
                </w:p>
              </w:tc>
              <w:tc>
                <w:tcPr>
                  <w:tcW w:w="2144" w:type="dxa"/>
                  <w:tcBorders>
                    <w:top w:val="single" w:sz="4" w:space="0" w:color="auto"/>
                    <w:left w:val="nil"/>
                    <w:bottom w:val="single" w:sz="8" w:space="0" w:color="auto"/>
                    <w:right w:val="single" w:sz="4" w:space="0" w:color="auto"/>
                  </w:tcBorders>
                  <w:shd w:val="clear" w:color="auto" w:fill="auto"/>
                  <w:noWrap/>
                </w:tcPr>
                <w:p w:rsidR="00E96635" w:rsidRPr="00D60D30" w:rsidRDefault="00E96635" w:rsidP="00E96635">
                  <w:r w:rsidRPr="00D60D30">
                    <w:t xml:space="preserve"> CIDB -  Unsuitable bidders awarded contracts</w:t>
                  </w:r>
                </w:p>
              </w:tc>
              <w:tc>
                <w:tcPr>
                  <w:tcW w:w="1997" w:type="dxa"/>
                  <w:tcBorders>
                    <w:top w:val="single" w:sz="4" w:space="0" w:color="auto"/>
                    <w:left w:val="nil"/>
                    <w:bottom w:val="single" w:sz="8" w:space="0" w:color="auto"/>
                    <w:right w:val="single" w:sz="8" w:space="0" w:color="auto"/>
                  </w:tcBorders>
                  <w:shd w:val="clear" w:color="auto" w:fill="auto"/>
                  <w:noWrap/>
                </w:tcPr>
                <w:p w:rsidR="00E96635" w:rsidRPr="00D60D30" w:rsidRDefault="00E96635" w:rsidP="00E96635">
                  <w:r w:rsidRPr="00D60D30">
                    <w:t>Construction of Mountain View (Simunye) Bus Route</w:t>
                  </w:r>
                </w:p>
              </w:tc>
            </w:tr>
          </w:tbl>
          <w:p w:rsidR="00545880" w:rsidRPr="00E62ADC" w:rsidRDefault="00545880" w:rsidP="00AE511D">
            <w:pPr>
              <w:widowControl w:val="0"/>
              <w:autoSpaceDE w:val="0"/>
              <w:autoSpaceDN w:val="0"/>
              <w:spacing w:after="0" w:line="240" w:lineRule="auto"/>
              <w:jc w:val="both"/>
              <w:rPr>
                <w:rFonts w:ascii="Arial" w:eastAsia="Times New Roman" w:hAnsi="Arial" w:cs="Arial"/>
                <w:sz w:val="20"/>
                <w:szCs w:val="20"/>
              </w:rPr>
            </w:pPr>
          </w:p>
        </w:tc>
      </w:tr>
      <w:tr w:rsidR="00AE511D" w:rsidRPr="00E62ADC" w:rsidTr="00E96635">
        <w:tc>
          <w:tcPr>
            <w:tcW w:w="606" w:type="dxa"/>
          </w:tcPr>
          <w:p w:rsidR="00AE511D" w:rsidRPr="00E62ADC" w:rsidRDefault="00AE511D" w:rsidP="00AE511D">
            <w:pPr>
              <w:spacing w:after="0" w:line="240" w:lineRule="auto"/>
              <w:contextualSpacing/>
              <w:jc w:val="center"/>
              <w:rPr>
                <w:rFonts w:ascii="Britannic Bold" w:hAnsi="Britannic Bold" w:cs="Arial"/>
              </w:rPr>
            </w:pPr>
          </w:p>
        </w:tc>
        <w:tc>
          <w:tcPr>
            <w:tcW w:w="9459" w:type="dxa"/>
          </w:tcPr>
          <w:p w:rsidR="00AE511D" w:rsidRDefault="00AE511D" w:rsidP="00AE511D">
            <w:pPr>
              <w:spacing w:after="0"/>
              <w:jc w:val="both"/>
              <w:rPr>
                <w:rFonts w:ascii="Britannic Bold" w:eastAsia="Times New Roman" w:hAnsi="Britannic Bold" w:cs="Arial"/>
                <w:color w:val="000000"/>
              </w:rPr>
            </w:pPr>
          </w:p>
          <w:p w:rsidR="00E96635" w:rsidRDefault="00E96635" w:rsidP="00AE511D">
            <w:pPr>
              <w:spacing w:after="0"/>
              <w:jc w:val="both"/>
              <w:rPr>
                <w:rFonts w:ascii="Britannic Bold" w:eastAsia="Times New Roman" w:hAnsi="Britannic Bold" w:cs="Arial"/>
                <w:color w:val="000000"/>
              </w:rPr>
            </w:pPr>
          </w:p>
          <w:p w:rsidR="00E96635" w:rsidRDefault="00E96635" w:rsidP="00AE511D">
            <w:pPr>
              <w:spacing w:after="0"/>
              <w:jc w:val="both"/>
              <w:rPr>
                <w:rFonts w:ascii="Britannic Bold" w:eastAsia="Times New Roman" w:hAnsi="Britannic Bold" w:cs="Arial"/>
                <w:color w:val="000000"/>
              </w:rPr>
            </w:pPr>
          </w:p>
          <w:p w:rsidR="00E96635" w:rsidRDefault="00E96635" w:rsidP="00AE511D">
            <w:pPr>
              <w:spacing w:after="0"/>
              <w:jc w:val="both"/>
              <w:rPr>
                <w:rFonts w:ascii="Britannic Bold" w:eastAsia="Times New Roman" w:hAnsi="Britannic Bold" w:cs="Arial"/>
                <w:color w:val="000000"/>
              </w:rPr>
            </w:pPr>
          </w:p>
          <w:p w:rsidR="00E96635" w:rsidRPr="00E62ADC" w:rsidRDefault="00E96635" w:rsidP="00AE511D">
            <w:pPr>
              <w:spacing w:after="0"/>
              <w:jc w:val="both"/>
              <w:rPr>
                <w:rFonts w:ascii="Britannic Bold" w:eastAsia="Times New Roman" w:hAnsi="Britannic Bold" w:cs="Arial"/>
                <w:color w:val="000000"/>
              </w:rPr>
            </w:pPr>
          </w:p>
        </w:tc>
      </w:tr>
      <w:tr w:rsidR="00AE511D" w:rsidRPr="00E62ADC" w:rsidTr="00E96635">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p>
          <w:p w:rsidR="00FF0527" w:rsidRPr="00E62ADC" w:rsidRDefault="00FF0527" w:rsidP="00AE511D">
            <w:pPr>
              <w:spacing w:after="0" w:line="240" w:lineRule="auto"/>
              <w:rPr>
                <w:rFonts w:ascii="Britannic Bold" w:eastAsiaTheme="minorHAnsi" w:hAnsi="Britannic Bold" w:cs="Arial"/>
                <w:sz w:val="20"/>
                <w:szCs w:val="20"/>
                <w:lang w:val="en-ZA"/>
              </w:rPr>
            </w:pPr>
          </w:p>
          <w:p w:rsidR="00FF0527" w:rsidRPr="00E62ADC" w:rsidRDefault="00FF0527" w:rsidP="00AE511D">
            <w:pPr>
              <w:spacing w:after="0" w:line="240" w:lineRule="auto"/>
              <w:rPr>
                <w:rFonts w:ascii="Britannic Bold" w:eastAsiaTheme="minorHAnsi" w:hAnsi="Britannic Bold" w:cs="Arial"/>
                <w:sz w:val="20"/>
                <w:szCs w:val="20"/>
                <w:lang w:val="en-ZA"/>
              </w:rPr>
            </w:pPr>
          </w:p>
          <w:p w:rsidR="00A649D3" w:rsidRPr="00E62ADC" w:rsidRDefault="00A649D3" w:rsidP="00AE511D">
            <w:pPr>
              <w:spacing w:after="0" w:line="240" w:lineRule="auto"/>
              <w:rPr>
                <w:rFonts w:ascii="Britannic Bold" w:eastAsiaTheme="minorHAnsi" w:hAnsi="Britannic Bold" w:cs="Arial"/>
                <w:sz w:val="20"/>
                <w:szCs w:val="20"/>
                <w:lang w:val="en-ZA"/>
              </w:rPr>
            </w:pPr>
          </w:p>
        </w:tc>
        <w:tc>
          <w:tcPr>
            <w:tcW w:w="9459" w:type="dxa"/>
          </w:tcPr>
          <w:p w:rsidR="00FF0527" w:rsidRDefault="00FF0527" w:rsidP="00AE511D">
            <w:pPr>
              <w:spacing w:after="0" w:line="240" w:lineRule="auto"/>
              <w:rPr>
                <w:rFonts w:ascii="Arial" w:eastAsiaTheme="minorHAnsi" w:hAnsi="Arial" w:cs="Arial"/>
                <w:b/>
                <w:color w:val="000000" w:themeColor="text1"/>
                <w:lang w:val="en-ZA"/>
              </w:rPr>
            </w:pPr>
            <w:r w:rsidRPr="00A26EC1">
              <w:rPr>
                <w:rFonts w:ascii="Arial" w:eastAsiaTheme="minorHAnsi" w:hAnsi="Arial" w:cs="Arial"/>
                <w:b/>
                <w:color w:val="000000" w:themeColor="text1"/>
                <w:lang w:val="en-ZA"/>
              </w:rPr>
              <w:t xml:space="preserve">5.4.3 Fruitless Expenditure </w:t>
            </w:r>
          </w:p>
          <w:p w:rsidR="002A746C" w:rsidRDefault="002A746C" w:rsidP="00AE511D">
            <w:pPr>
              <w:spacing w:after="0" w:line="240" w:lineRule="auto"/>
              <w:rPr>
                <w:rFonts w:ascii="Arial" w:eastAsiaTheme="minorHAnsi" w:hAnsi="Arial" w:cs="Arial"/>
                <w:b/>
                <w:color w:val="000000" w:themeColor="text1"/>
                <w:lang w:val="en-ZA"/>
              </w:rPr>
            </w:pPr>
          </w:p>
          <w:p w:rsidR="00E96635" w:rsidRDefault="002A746C" w:rsidP="00AE511D">
            <w:pPr>
              <w:spacing w:after="0" w:line="240" w:lineRule="auto"/>
              <w:rPr>
                <w:rFonts w:ascii="Arial" w:eastAsiaTheme="minorHAnsi" w:hAnsi="Arial" w:cs="Arial"/>
                <w:b/>
                <w:color w:val="000000" w:themeColor="text1"/>
                <w:lang w:val="en-ZA"/>
              </w:rPr>
            </w:pPr>
            <w:r>
              <w:rPr>
                <w:rFonts w:ascii="Arial" w:eastAsiaTheme="minorHAnsi" w:hAnsi="Arial" w:cs="Arial"/>
                <w:b/>
                <w:color w:val="000000" w:themeColor="text1"/>
                <w:lang w:val="en-ZA"/>
              </w:rPr>
              <w:t>Table 5.4.3</w:t>
            </w:r>
            <w:r w:rsidRPr="002A746C">
              <w:rPr>
                <w:rFonts w:ascii="Arial" w:eastAsiaTheme="minorHAnsi" w:hAnsi="Arial" w:cs="Arial"/>
                <w:b/>
                <w:color w:val="000000" w:themeColor="text1"/>
                <w:lang w:val="en-ZA"/>
              </w:rPr>
              <w:t>.1 Third  quarter irregular expenditure for 2021-2022</w:t>
            </w:r>
          </w:p>
          <w:tbl>
            <w:tblPr>
              <w:tblW w:w="9199" w:type="dxa"/>
              <w:tblLayout w:type="fixed"/>
              <w:tblLook w:val="04A0" w:firstRow="1" w:lastRow="0" w:firstColumn="1" w:lastColumn="0" w:noHBand="0" w:noVBand="1"/>
            </w:tblPr>
            <w:tblGrid>
              <w:gridCol w:w="917"/>
              <w:gridCol w:w="1399"/>
              <w:gridCol w:w="1092"/>
              <w:gridCol w:w="1113"/>
              <w:gridCol w:w="1418"/>
              <w:gridCol w:w="1701"/>
              <w:gridCol w:w="1559"/>
            </w:tblGrid>
            <w:tr w:rsidR="00E96635" w:rsidRPr="004A5DDF" w:rsidTr="00E96635">
              <w:trPr>
                <w:trHeight w:val="290"/>
              </w:trPr>
              <w:tc>
                <w:tcPr>
                  <w:tcW w:w="9199" w:type="dxa"/>
                  <w:gridSpan w:val="7"/>
                  <w:vMerge w:val="restart"/>
                  <w:tcBorders>
                    <w:top w:val="single" w:sz="8" w:space="0" w:color="auto"/>
                    <w:left w:val="single" w:sz="8" w:space="0" w:color="auto"/>
                    <w:bottom w:val="single" w:sz="8" w:space="0" w:color="000000"/>
                    <w:right w:val="single" w:sz="8" w:space="0" w:color="000000"/>
                  </w:tcBorders>
                  <w:shd w:val="clear" w:color="000000" w:fill="FFFFFF"/>
                  <w:noWrap/>
                  <w:vAlign w:val="bottom"/>
                  <w:hideMark/>
                </w:tcPr>
                <w:p w:rsidR="00E96635" w:rsidRPr="004A5DDF" w:rsidRDefault="00E96635" w:rsidP="00E96635">
                  <w:pPr>
                    <w:spacing w:after="0" w:line="240" w:lineRule="auto"/>
                    <w:jc w:val="center"/>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 xml:space="preserve">          FRUITLESS AND WASTEFUL EXPENDITURE REGISTER FOR 2021/2022</w:t>
                  </w:r>
                </w:p>
              </w:tc>
            </w:tr>
            <w:tr w:rsidR="00E96635" w:rsidRPr="004A5DDF" w:rsidTr="00E96635">
              <w:trPr>
                <w:trHeight w:val="300"/>
              </w:trPr>
              <w:tc>
                <w:tcPr>
                  <w:tcW w:w="9199" w:type="dxa"/>
                  <w:gridSpan w:val="7"/>
                  <w:vMerge/>
                  <w:tcBorders>
                    <w:top w:val="single" w:sz="8" w:space="0" w:color="auto"/>
                    <w:left w:val="single" w:sz="8" w:space="0" w:color="auto"/>
                    <w:bottom w:val="single" w:sz="8" w:space="0" w:color="000000"/>
                    <w:right w:val="single" w:sz="8" w:space="0" w:color="000000"/>
                  </w:tcBorders>
                  <w:vAlign w:val="center"/>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p>
              </w:tc>
            </w:tr>
            <w:tr w:rsidR="00E96635" w:rsidRPr="004A5DDF" w:rsidTr="00E96635">
              <w:trPr>
                <w:trHeight w:val="540"/>
              </w:trPr>
              <w:tc>
                <w:tcPr>
                  <w:tcW w:w="917" w:type="dxa"/>
                  <w:tcBorders>
                    <w:top w:val="nil"/>
                    <w:left w:val="single" w:sz="8" w:space="0" w:color="auto"/>
                    <w:bottom w:val="single" w:sz="8" w:space="0" w:color="auto"/>
                    <w:right w:val="single" w:sz="4" w:space="0" w:color="auto"/>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Fiscal</w:t>
                  </w:r>
                </w:p>
              </w:tc>
              <w:tc>
                <w:tcPr>
                  <w:tcW w:w="1399" w:type="dxa"/>
                  <w:tcBorders>
                    <w:top w:val="nil"/>
                    <w:left w:val="nil"/>
                    <w:bottom w:val="single" w:sz="8" w:space="0" w:color="auto"/>
                    <w:right w:val="single" w:sz="4" w:space="0" w:color="auto"/>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Trans Date</w:t>
                  </w:r>
                </w:p>
              </w:tc>
              <w:tc>
                <w:tcPr>
                  <w:tcW w:w="1092" w:type="dxa"/>
                  <w:tcBorders>
                    <w:top w:val="nil"/>
                    <w:left w:val="nil"/>
                    <w:bottom w:val="single" w:sz="8" w:space="0" w:color="auto"/>
                    <w:right w:val="nil"/>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Incurred</w:t>
                  </w:r>
                </w:p>
              </w:tc>
              <w:tc>
                <w:tcPr>
                  <w:tcW w:w="1113" w:type="dxa"/>
                  <w:tcBorders>
                    <w:top w:val="nil"/>
                    <w:left w:val="single" w:sz="4" w:space="0" w:color="auto"/>
                    <w:bottom w:val="single" w:sz="4" w:space="0" w:color="auto"/>
                    <w:right w:val="single" w:sz="4" w:space="0" w:color="auto"/>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Journal No</w:t>
                  </w:r>
                </w:p>
              </w:tc>
              <w:tc>
                <w:tcPr>
                  <w:tcW w:w="1418" w:type="dxa"/>
                  <w:tcBorders>
                    <w:top w:val="nil"/>
                    <w:left w:val="nil"/>
                    <w:bottom w:val="single" w:sz="8" w:space="0" w:color="auto"/>
                    <w:right w:val="nil"/>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Remarks</w:t>
                  </w:r>
                </w:p>
              </w:tc>
              <w:tc>
                <w:tcPr>
                  <w:tcW w:w="1701" w:type="dxa"/>
                  <w:tcBorders>
                    <w:top w:val="nil"/>
                    <w:left w:val="single" w:sz="8" w:space="0" w:color="auto"/>
                    <w:bottom w:val="single" w:sz="8" w:space="0" w:color="auto"/>
                    <w:right w:val="single" w:sz="8" w:space="0" w:color="auto"/>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 xml:space="preserve"> Amount </w:t>
                  </w:r>
                </w:p>
              </w:tc>
              <w:tc>
                <w:tcPr>
                  <w:tcW w:w="1559" w:type="dxa"/>
                  <w:tcBorders>
                    <w:top w:val="nil"/>
                    <w:left w:val="nil"/>
                    <w:bottom w:val="single" w:sz="8" w:space="0" w:color="auto"/>
                    <w:right w:val="single" w:sz="8" w:space="0" w:color="auto"/>
                  </w:tcBorders>
                  <w:shd w:val="clear" w:color="000000" w:fill="FFFFFF"/>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Description (Explain what happened)</w:t>
                  </w:r>
                </w:p>
              </w:tc>
            </w:tr>
            <w:tr w:rsidR="00E96635" w:rsidRPr="004A5DDF" w:rsidTr="00E96635">
              <w:trPr>
                <w:trHeight w:val="800"/>
              </w:trPr>
              <w:tc>
                <w:tcPr>
                  <w:tcW w:w="917" w:type="dxa"/>
                  <w:tcBorders>
                    <w:top w:val="nil"/>
                    <w:left w:val="single" w:sz="8" w:space="0" w:color="auto"/>
                    <w:bottom w:val="single" w:sz="4" w:space="0" w:color="auto"/>
                    <w:right w:val="single" w:sz="4" w:space="0" w:color="auto"/>
                  </w:tcBorders>
                  <w:shd w:val="clear" w:color="000000" w:fill="FFFFFF"/>
                  <w:noWrap/>
                  <w:vAlign w:val="bottom"/>
                  <w:hideMark/>
                </w:tcPr>
                <w:p w:rsidR="00E96635" w:rsidRPr="004A5DDF" w:rsidRDefault="00E96635" w:rsidP="00E96635">
                  <w:pPr>
                    <w:spacing w:after="0" w:line="240" w:lineRule="auto"/>
                    <w:jc w:val="right"/>
                    <w:rPr>
                      <w:rFonts w:eastAsia="Times New Roman" w:cs="Calibri"/>
                      <w:bCs/>
                      <w:color w:val="000000"/>
                      <w:sz w:val="20"/>
                      <w:szCs w:val="20"/>
                      <w:lang w:val="en-ZA" w:eastAsia="en-ZA"/>
                    </w:rPr>
                  </w:pPr>
                  <w:r w:rsidRPr="004A5DDF">
                    <w:rPr>
                      <w:rFonts w:eastAsia="Times New Roman" w:cs="Calibri"/>
                      <w:bCs/>
                      <w:color w:val="000000"/>
                      <w:sz w:val="20"/>
                      <w:szCs w:val="20"/>
                      <w:lang w:val="en-ZA" w:eastAsia="en-ZA"/>
                    </w:rPr>
                    <w:t>Feb-22</w:t>
                  </w:r>
                </w:p>
              </w:tc>
              <w:tc>
                <w:tcPr>
                  <w:tcW w:w="1399" w:type="dxa"/>
                  <w:tcBorders>
                    <w:top w:val="nil"/>
                    <w:left w:val="nil"/>
                    <w:bottom w:val="single" w:sz="4" w:space="0" w:color="auto"/>
                    <w:right w:val="single" w:sz="4" w:space="0" w:color="auto"/>
                  </w:tcBorders>
                  <w:shd w:val="clear" w:color="000000" w:fill="FFFFFF"/>
                  <w:noWrap/>
                  <w:vAlign w:val="bottom"/>
                  <w:hideMark/>
                </w:tcPr>
                <w:p w:rsidR="00E96635" w:rsidRPr="004A5DDF" w:rsidRDefault="00E96635" w:rsidP="00E96635">
                  <w:pPr>
                    <w:spacing w:after="0" w:line="240" w:lineRule="auto"/>
                    <w:jc w:val="right"/>
                    <w:rPr>
                      <w:rFonts w:eastAsia="Times New Roman" w:cs="Calibri"/>
                      <w:bCs/>
                      <w:color w:val="000000"/>
                      <w:sz w:val="20"/>
                      <w:szCs w:val="20"/>
                      <w:lang w:val="en-ZA" w:eastAsia="en-ZA"/>
                    </w:rPr>
                  </w:pPr>
                  <w:r w:rsidRPr="004A5DDF">
                    <w:rPr>
                      <w:rFonts w:eastAsia="Times New Roman" w:cs="Calibri"/>
                      <w:bCs/>
                      <w:color w:val="000000"/>
                      <w:sz w:val="20"/>
                      <w:szCs w:val="20"/>
                      <w:lang w:val="en-ZA" w:eastAsia="en-ZA"/>
                    </w:rPr>
                    <w:t>Mar-22</w:t>
                  </w:r>
                </w:p>
              </w:tc>
              <w:tc>
                <w:tcPr>
                  <w:tcW w:w="1092" w:type="dxa"/>
                  <w:tcBorders>
                    <w:top w:val="single" w:sz="4" w:space="0" w:color="auto"/>
                    <w:left w:val="nil"/>
                    <w:bottom w:val="single" w:sz="4" w:space="0" w:color="auto"/>
                    <w:right w:val="single" w:sz="4" w:space="0" w:color="auto"/>
                  </w:tcBorders>
                  <w:shd w:val="clear" w:color="000000" w:fill="FFFFFF"/>
                  <w:noWrap/>
                  <w:vAlign w:val="bottom"/>
                  <w:hideMark/>
                </w:tcPr>
                <w:p w:rsidR="00E96635" w:rsidRPr="004A5DDF" w:rsidRDefault="00E96635" w:rsidP="00E96635">
                  <w:pPr>
                    <w:spacing w:after="0" w:line="240" w:lineRule="auto"/>
                    <w:jc w:val="right"/>
                    <w:rPr>
                      <w:rFonts w:eastAsia="Times New Roman" w:cs="Calibri"/>
                      <w:bCs/>
                      <w:color w:val="000000"/>
                      <w:sz w:val="20"/>
                      <w:szCs w:val="20"/>
                      <w:lang w:val="en-ZA" w:eastAsia="en-ZA"/>
                    </w:rPr>
                  </w:pPr>
                  <w:r w:rsidRPr="004A5DDF">
                    <w:rPr>
                      <w:rFonts w:eastAsia="Times New Roman" w:cs="Calibri"/>
                      <w:bCs/>
                      <w:color w:val="000000"/>
                      <w:sz w:val="20"/>
                      <w:szCs w:val="20"/>
                      <w:lang w:val="en-ZA" w:eastAsia="en-ZA"/>
                    </w:rPr>
                    <w:t>30-Jan-22</w:t>
                  </w:r>
                </w:p>
              </w:tc>
              <w:tc>
                <w:tcPr>
                  <w:tcW w:w="1113" w:type="dxa"/>
                  <w:tcBorders>
                    <w:top w:val="nil"/>
                    <w:left w:val="nil"/>
                    <w:bottom w:val="single" w:sz="4" w:space="0" w:color="auto"/>
                    <w:right w:val="single" w:sz="4" w:space="0" w:color="auto"/>
                  </w:tcBorders>
                  <w:shd w:val="clear" w:color="000000" w:fill="FFFFFF"/>
                  <w:noWrap/>
                  <w:vAlign w:val="bottom"/>
                  <w:hideMark/>
                </w:tcPr>
                <w:p w:rsidR="00E96635" w:rsidRPr="004A5DDF" w:rsidRDefault="00E96635" w:rsidP="00E96635">
                  <w:pPr>
                    <w:spacing w:after="0" w:line="240" w:lineRule="auto"/>
                    <w:rPr>
                      <w:rFonts w:eastAsia="Times New Roman" w:cs="Calibri"/>
                      <w:bCs/>
                      <w:color w:val="000000"/>
                      <w:sz w:val="20"/>
                      <w:szCs w:val="20"/>
                      <w:lang w:val="en-ZA" w:eastAsia="en-ZA"/>
                    </w:rPr>
                  </w:pPr>
                  <w:r w:rsidRPr="004A5DDF">
                    <w:rPr>
                      <w:rFonts w:eastAsia="Times New Roman" w:cs="Calibri"/>
                      <w:bCs/>
                      <w:color w:val="000000"/>
                      <w:sz w:val="20"/>
                      <w:szCs w:val="20"/>
                      <w:lang w:val="en-ZA" w:eastAsia="en-ZA"/>
                    </w:rPr>
                    <w:t>EF 14256</w:t>
                  </w:r>
                </w:p>
              </w:tc>
              <w:tc>
                <w:tcPr>
                  <w:tcW w:w="1418" w:type="dxa"/>
                  <w:tcBorders>
                    <w:top w:val="nil"/>
                    <w:left w:val="nil"/>
                    <w:bottom w:val="single" w:sz="4" w:space="0" w:color="auto"/>
                    <w:right w:val="nil"/>
                  </w:tcBorders>
                  <w:shd w:val="clear" w:color="000000" w:fill="FFFFFF"/>
                  <w:vAlign w:val="bottom"/>
                  <w:hideMark/>
                </w:tcPr>
                <w:p w:rsidR="00E96635" w:rsidRPr="004A5DDF" w:rsidRDefault="00E96635" w:rsidP="00E96635">
                  <w:pPr>
                    <w:spacing w:after="0" w:line="240" w:lineRule="auto"/>
                    <w:jc w:val="center"/>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Eskom bulk interest charged</w:t>
                  </w:r>
                </w:p>
              </w:tc>
              <w:tc>
                <w:tcPr>
                  <w:tcW w:w="1701" w:type="dxa"/>
                  <w:tcBorders>
                    <w:top w:val="nil"/>
                    <w:left w:val="single" w:sz="8" w:space="0" w:color="auto"/>
                    <w:bottom w:val="single" w:sz="4" w:space="0" w:color="auto"/>
                    <w:right w:val="single" w:sz="8" w:space="0" w:color="auto"/>
                  </w:tcBorders>
                  <w:shd w:val="clear" w:color="000000" w:fill="FFFFFF"/>
                  <w:noWrap/>
                  <w:vAlign w:val="bottom"/>
                  <w:hideMark/>
                </w:tcPr>
                <w:p w:rsidR="00E96635" w:rsidRPr="004A5DDF" w:rsidRDefault="00E96635" w:rsidP="00E96635">
                  <w:pPr>
                    <w:spacing w:after="0" w:line="240" w:lineRule="auto"/>
                    <w:rPr>
                      <w:rFonts w:eastAsia="Times New Roman" w:cs="Calibri"/>
                      <w:bCs/>
                      <w:color w:val="000000"/>
                      <w:sz w:val="20"/>
                      <w:szCs w:val="20"/>
                      <w:lang w:val="en-ZA" w:eastAsia="en-ZA"/>
                    </w:rPr>
                  </w:pPr>
                  <w:r w:rsidRPr="004A5DDF">
                    <w:rPr>
                      <w:rFonts w:eastAsia="Times New Roman" w:cs="Calibri"/>
                      <w:bCs/>
                      <w:color w:val="000000"/>
                      <w:sz w:val="20"/>
                      <w:szCs w:val="20"/>
                      <w:lang w:val="en-ZA" w:eastAsia="en-ZA"/>
                    </w:rPr>
                    <w:t xml:space="preserve"> R              323,18 </w:t>
                  </w:r>
                </w:p>
              </w:tc>
              <w:tc>
                <w:tcPr>
                  <w:tcW w:w="1559" w:type="dxa"/>
                  <w:tcBorders>
                    <w:top w:val="nil"/>
                    <w:left w:val="nil"/>
                    <w:bottom w:val="single" w:sz="4" w:space="0" w:color="auto"/>
                    <w:right w:val="single" w:sz="8" w:space="0" w:color="auto"/>
                  </w:tcBorders>
                  <w:shd w:val="clear" w:color="000000" w:fill="FFFFFF"/>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Bank authorisation delayed due to network problem</w:t>
                  </w:r>
                </w:p>
              </w:tc>
            </w:tr>
            <w:tr w:rsidR="00E96635" w:rsidRPr="004A5DDF" w:rsidTr="00E96635">
              <w:trPr>
                <w:trHeight w:val="300"/>
              </w:trPr>
              <w:tc>
                <w:tcPr>
                  <w:tcW w:w="917" w:type="dxa"/>
                  <w:tcBorders>
                    <w:top w:val="nil"/>
                    <w:left w:val="single" w:sz="8" w:space="0" w:color="auto"/>
                    <w:bottom w:val="single" w:sz="4" w:space="0" w:color="auto"/>
                    <w:right w:val="single" w:sz="4" w:space="0" w:color="auto"/>
                  </w:tcBorders>
                  <w:shd w:val="clear" w:color="000000" w:fill="FFFFFF"/>
                  <w:noWrap/>
                  <w:vAlign w:val="bottom"/>
                  <w:hideMark/>
                </w:tcPr>
                <w:p w:rsidR="00E96635" w:rsidRPr="004A5DDF" w:rsidRDefault="00E96635" w:rsidP="00E96635">
                  <w:pPr>
                    <w:spacing w:after="0" w:line="240" w:lineRule="auto"/>
                    <w:rPr>
                      <w:rFonts w:eastAsia="Times New Roman" w:cs="Calibri"/>
                      <w:bCs/>
                      <w:color w:val="000000"/>
                      <w:sz w:val="20"/>
                      <w:szCs w:val="20"/>
                      <w:lang w:val="en-ZA" w:eastAsia="en-ZA"/>
                    </w:rPr>
                  </w:pPr>
                  <w:r w:rsidRPr="004A5DDF">
                    <w:rPr>
                      <w:rFonts w:eastAsia="Times New Roman" w:cs="Calibri"/>
                      <w:bCs/>
                      <w:color w:val="000000"/>
                      <w:sz w:val="20"/>
                      <w:szCs w:val="20"/>
                      <w:lang w:val="en-ZA" w:eastAsia="en-ZA"/>
                    </w:rPr>
                    <w:t> </w:t>
                  </w:r>
                </w:p>
              </w:tc>
              <w:tc>
                <w:tcPr>
                  <w:tcW w:w="1399" w:type="dxa"/>
                  <w:tcBorders>
                    <w:top w:val="nil"/>
                    <w:left w:val="nil"/>
                    <w:bottom w:val="single" w:sz="4" w:space="0" w:color="auto"/>
                    <w:right w:val="single" w:sz="4" w:space="0" w:color="auto"/>
                  </w:tcBorders>
                  <w:shd w:val="clear" w:color="000000" w:fill="FFFFFF"/>
                  <w:noWrap/>
                  <w:vAlign w:val="bottom"/>
                  <w:hideMark/>
                </w:tcPr>
                <w:p w:rsidR="00E96635" w:rsidRPr="004A5DDF" w:rsidRDefault="00E96635" w:rsidP="00E96635">
                  <w:pPr>
                    <w:spacing w:after="0" w:line="240" w:lineRule="auto"/>
                    <w:rPr>
                      <w:rFonts w:eastAsia="Times New Roman" w:cs="Calibri"/>
                      <w:bCs/>
                      <w:color w:val="000000"/>
                      <w:sz w:val="20"/>
                      <w:szCs w:val="20"/>
                      <w:lang w:val="en-ZA" w:eastAsia="en-ZA"/>
                    </w:rPr>
                  </w:pPr>
                  <w:r w:rsidRPr="004A5DDF">
                    <w:rPr>
                      <w:rFonts w:eastAsia="Times New Roman" w:cs="Calibri"/>
                      <w:bCs/>
                      <w:color w:val="000000"/>
                      <w:sz w:val="20"/>
                      <w:szCs w:val="20"/>
                      <w:lang w:val="en-ZA" w:eastAsia="en-ZA"/>
                    </w:rPr>
                    <w:t> </w:t>
                  </w:r>
                </w:p>
              </w:tc>
              <w:tc>
                <w:tcPr>
                  <w:tcW w:w="1092" w:type="dxa"/>
                  <w:tcBorders>
                    <w:top w:val="nil"/>
                    <w:left w:val="nil"/>
                    <w:bottom w:val="single" w:sz="4" w:space="0" w:color="auto"/>
                    <w:right w:val="single" w:sz="4" w:space="0" w:color="auto"/>
                  </w:tcBorders>
                  <w:shd w:val="clear" w:color="000000" w:fill="FFFFFF"/>
                  <w:noWrap/>
                  <w:vAlign w:val="bottom"/>
                  <w:hideMark/>
                </w:tcPr>
                <w:p w:rsidR="00E96635" w:rsidRPr="004A5DDF" w:rsidRDefault="00E96635" w:rsidP="00E96635">
                  <w:pPr>
                    <w:spacing w:after="0" w:line="240" w:lineRule="auto"/>
                    <w:rPr>
                      <w:rFonts w:eastAsia="Times New Roman" w:cs="Calibri"/>
                      <w:bCs/>
                      <w:color w:val="000000"/>
                      <w:sz w:val="20"/>
                      <w:szCs w:val="20"/>
                      <w:lang w:val="en-ZA" w:eastAsia="en-ZA"/>
                    </w:rPr>
                  </w:pPr>
                  <w:r w:rsidRPr="004A5DDF">
                    <w:rPr>
                      <w:rFonts w:eastAsia="Times New Roman" w:cs="Calibri"/>
                      <w:bCs/>
                      <w:color w:val="000000"/>
                      <w:sz w:val="20"/>
                      <w:szCs w:val="20"/>
                      <w:lang w:val="en-ZA" w:eastAsia="en-ZA"/>
                    </w:rPr>
                    <w:t> </w:t>
                  </w:r>
                </w:p>
              </w:tc>
              <w:tc>
                <w:tcPr>
                  <w:tcW w:w="1113" w:type="dxa"/>
                  <w:tcBorders>
                    <w:top w:val="nil"/>
                    <w:left w:val="nil"/>
                    <w:bottom w:val="single" w:sz="4" w:space="0" w:color="auto"/>
                    <w:right w:val="single" w:sz="4" w:space="0" w:color="auto"/>
                  </w:tcBorders>
                  <w:shd w:val="clear" w:color="000000" w:fill="FFFFFF"/>
                  <w:noWrap/>
                  <w:vAlign w:val="bottom"/>
                  <w:hideMark/>
                </w:tcPr>
                <w:p w:rsidR="00E96635" w:rsidRPr="004A5DDF" w:rsidRDefault="00E96635" w:rsidP="00E96635">
                  <w:pPr>
                    <w:spacing w:after="0" w:line="240" w:lineRule="auto"/>
                    <w:rPr>
                      <w:rFonts w:eastAsia="Times New Roman" w:cs="Calibri"/>
                      <w:bCs/>
                      <w:color w:val="000000"/>
                      <w:sz w:val="20"/>
                      <w:szCs w:val="20"/>
                      <w:lang w:val="en-ZA" w:eastAsia="en-ZA"/>
                    </w:rPr>
                  </w:pPr>
                  <w:r w:rsidRPr="004A5DDF">
                    <w:rPr>
                      <w:rFonts w:eastAsia="Times New Roman" w:cs="Calibri"/>
                      <w:bCs/>
                      <w:color w:val="000000"/>
                      <w:sz w:val="20"/>
                      <w:szCs w:val="20"/>
                      <w:lang w:val="en-ZA" w:eastAsia="en-ZA"/>
                    </w:rPr>
                    <w:t> </w:t>
                  </w:r>
                </w:p>
              </w:tc>
              <w:tc>
                <w:tcPr>
                  <w:tcW w:w="1418" w:type="dxa"/>
                  <w:tcBorders>
                    <w:top w:val="nil"/>
                    <w:left w:val="nil"/>
                    <w:bottom w:val="single" w:sz="4" w:space="0" w:color="auto"/>
                    <w:right w:val="nil"/>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 </w:t>
                  </w:r>
                </w:p>
              </w:tc>
              <w:tc>
                <w:tcPr>
                  <w:tcW w:w="1701"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E96635" w:rsidRPr="004A5DDF" w:rsidRDefault="00E96635" w:rsidP="00E96635">
                  <w:pPr>
                    <w:spacing w:after="0" w:line="240" w:lineRule="auto"/>
                    <w:rPr>
                      <w:rFonts w:eastAsia="Times New Roman" w:cs="Calibri"/>
                      <w:bCs/>
                      <w:color w:val="000000"/>
                      <w:sz w:val="20"/>
                      <w:szCs w:val="20"/>
                      <w:lang w:val="en-ZA" w:eastAsia="en-ZA"/>
                    </w:rPr>
                  </w:pPr>
                  <w:r w:rsidRPr="004A5DDF">
                    <w:rPr>
                      <w:rFonts w:eastAsia="Times New Roman" w:cs="Calibri"/>
                      <w:bCs/>
                      <w:color w:val="000000"/>
                      <w:sz w:val="20"/>
                      <w:szCs w:val="20"/>
                      <w:lang w:val="en-ZA" w:eastAsia="en-ZA"/>
                    </w:rPr>
                    <w:t> </w:t>
                  </w:r>
                </w:p>
              </w:tc>
              <w:tc>
                <w:tcPr>
                  <w:tcW w:w="1559" w:type="dxa"/>
                  <w:tcBorders>
                    <w:top w:val="nil"/>
                    <w:left w:val="nil"/>
                    <w:bottom w:val="single" w:sz="4" w:space="0" w:color="auto"/>
                    <w:right w:val="single" w:sz="8" w:space="0" w:color="auto"/>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 </w:t>
                  </w:r>
                </w:p>
              </w:tc>
            </w:tr>
            <w:tr w:rsidR="00E96635" w:rsidRPr="004A5DDF" w:rsidTr="00E96635">
              <w:trPr>
                <w:trHeight w:val="290"/>
              </w:trPr>
              <w:tc>
                <w:tcPr>
                  <w:tcW w:w="917" w:type="dxa"/>
                  <w:tcBorders>
                    <w:top w:val="single" w:sz="8" w:space="0" w:color="auto"/>
                    <w:left w:val="single" w:sz="8" w:space="0" w:color="auto"/>
                    <w:bottom w:val="nil"/>
                    <w:right w:val="nil"/>
                  </w:tcBorders>
                  <w:shd w:val="clear" w:color="000000" w:fill="FFFFFF"/>
                  <w:noWrap/>
                  <w:vAlign w:val="bottom"/>
                  <w:hideMark/>
                </w:tcPr>
                <w:p w:rsidR="00E96635" w:rsidRPr="004A5DDF" w:rsidRDefault="00E96635" w:rsidP="00E96635">
                  <w:pPr>
                    <w:spacing w:after="0" w:line="240" w:lineRule="auto"/>
                    <w:rPr>
                      <w:rFonts w:eastAsia="Times New Roman" w:cs="Calibri"/>
                      <w:color w:val="000000"/>
                      <w:sz w:val="20"/>
                      <w:szCs w:val="20"/>
                      <w:lang w:val="en-ZA" w:eastAsia="en-ZA"/>
                    </w:rPr>
                  </w:pPr>
                  <w:r w:rsidRPr="004A5DDF">
                    <w:rPr>
                      <w:rFonts w:eastAsia="Times New Roman" w:cs="Calibri"/>
                      <w:color w:val="000000"/>
                      <w:sz w:val="20"/>
                      <w:szCs w:val="20"/>
                      <w:lang w:val="en-ZA" w:eastAsia="en-ZA"/>
                    </w:rPr>
                    <w:t> </w:t>
                  </w:r>
                </w:p>
              </w:tc>
              <w:tc>
                <w:tcPr>
                  <w:tcW w:w="1399" w:type="dxa"/>
                  <w:tcBorders>
                    <w:top w:val="single" w:sz="8" w:space="0" w:color="auto"/>
                    <w:left w:val="nil"/>
                    <w:bottom w:val="nil"/>
                    <w:right w:val="nil"/>
                  </w:tcBorders>
                  <w:shd w:val="clear" w:color="000000" w:fill="FFFFFF"/>
                  <w:noWrap/>
                  <w:vAlign w:val="bottom"/>
                  <w:hideMark/>
                </w:tcPr>
                <w:p w:rsidR="00E96635" w:rsidRPr="004A5DDF" w:rsidRDefault="00E96635" w:rsidP="00E96635">
                  <w:pPr>
                    <w:spacing w:after="0" w:line="240" w:lineRule="auto"/>
                    <w:rPr>
                      <w:rFonts w:eastAsia="Times New Roman" w:cs="Calibri"/>
                      <w:color w:val="000000"/>
                      <w:sz w:val="20"/>
                      <w:szCs w:val="20"/>
                      <w:lang w:val="en-ZA" w:eastAsia="en-ZA"/>
                    </w:rPr>
                  </w:pPr>
                  <w:r w:rsidRPr="004A5DDF">
                    <w:rPr>
                      <w:rFonts w:eastAsia="Times New Roman" w:cs="Calibri"/>
                      <w:color w:val="000000"/>
                      <w:sz w:val="20"/>
                      <w:szCs w:val="20"/>
                      <w:lang w:val="en-ZA" w:eastAsia="en-ZA"/>
                    </w:rPr>
                    <w:t> </w:t>
                  </w:r>
                </w:p>
              </w:tc>
              <w:tc>
                <w:tcPr>
                  <w:tcW w:w="1092" w:type="dxa"/>
                  <w:tcBorders>
                    <w:top w:val="single" w:sz="8" w:space="0" w:color="auto"/>
                    <w:left w:val="nil"/>
                    <w:bottom w:val="nil"/>
                    <w:right w:val="nil"/>
                  </w:tcBorders>
                  <w:shd w:val="clear" w:color="000000" w:fill="FFFFFF"/>
                  <w:noWrap/>
                  <w:vAlign w:val="bottom"/>
                  <w:hideMark/>
                </w:tcPr>
                <w:p w:rsidR="00E96635" w:rsidRPr="004A5DDF" w:rsidRDefault="00E96635" w:rsidP="00E96635">
                  <w:pPr>
                    <w:spacing w:after="0" w:line="240" w:lineRule="auto"/>
                    <w:rPr>
                      <w:rFonts w:eastAsia="Times New Roman" w:cs="Calibri"/>
                      <w:color w:val="000000"/>
                      <w:sz w:val="20"/>
                      <w:szCs w:val="20"/>
                      <w:lang w:val="en-ZA" w:eastAsia="en-ZA"/>
                    </w:rPr>
                  </w:pPr>
                  <w:r w:rsidRPr="004A5DDF">
                    <w:rPr>
                      <w:rFonts w:eastAsia="Times New Roman" w:cs="Calibri"/>
                      <w:color w:val="000000"/>
                      <w:sz w:val="20"/>
                      <w:szCs w:val="20"/>
                      <w:lang w:val="en-ZA" w:eastAsia="en-ZA"/>
                    </w:rPr>
                    <w:t> </w:t>
                  </w:r>
                </w:p>
              </w:tc>
              <w:tc>
                <w:tcPr>
                  <w:tcW w:w="1113" w:type="dxa"/>
                  <w:tcBorders>
                    <w:top w:val="single" w:sz="8" w:space="0" w:color="auto"/>
                    <w:left w:val="nil"/>
                    <w:bottom w:val="nil"/>
                    <w:right w:val="nil"/>
                  </w:tcBorders>
                  <w:shd w:val="clear" w:color="000000" w:fill="FFFFFF"/>
                  <w:noWrap/>
                  <w:vAlign w:val="bottom"/>
                  <w:hideMark/>
                </w:tcPr>
                <w:p w:rsidR="00E96635" w:rsidRPr="004A5DDF" w:rsidRDefault="00E96635" w:rsidP="00E96635">
                  <w:pPr>
                    <w:spacing w:after="0" w:line="240" w:lineRule="auto"/>
                    <w:rPr>
                      <w:rFonts w:eastAsia="Times New Roman" w:cs="Calibri"/>
                      <w:bCs/>
                      <w:color w:val="000000"/>
                      <w:sz w:val="20"/>
                      <w:szCs w:val="20"/>
                      <w:lang w:val="en-ZA" w:eastAsia="en-ZA"/>
                    </w:rPr>
                  </w:pPr>
                  <w:r w:rsidRPr="004A5DDF">
                    <w:rPr>
                      <w:rFonts w:eastAsia="Times New Roman" w:cs="Calibri"/>
                      <w:bCs/>
                      <w:color w:val="000000"/>
                      <w:sz w:val="20"/>
                      <w:szCs w:val="20"/>
                      <w:lang w:val="en-ZA" w:eastAsia="en-ZA"/>
                    </w:rPr>
                    <w:t> </w:t>
                  </w:r>
                </w:p>
              </w:tc>
              <w:tc>
                <w:tcPr>
                  <w:tcW w:w="1418" w:type="dxa"/>
                  <w:tcBorders>
                    <w:top w:val="single" w:sz="8" w:space="0" w:color="auto"/>
                    <w:left w:val="nil"/>
                    <w:bottom w:val="nil"/>
                    <w:right w:val="nil"/>
                  </w:tcBorders>
                  <w:shd w:val="clear" w:color="000000" w:fill="FFFFFF"/>
                  <w:noWrap/>
                  <w:vAlign w:val="bottom"/>
                  <w:hideMark/>
                </w:tcPr>
                <w:p w:rsidR="00E96635" w:rsidRPr="004A5DDF" w:rsidRDefault="00E96635" w:rsidP="00E96635">
                  <w:pPr>
                    <w:spacing w:after="0" w:line="240" w:lineRule="auto"/>
                    <w:rPr>
                      <w:rFonts w:eastAsia="Times New Roman" w:cs="Calibri"/>
                      <w:color w:val="000000"/>
                      <w:sz w:val="20"/>
                      <w:szCs w:val="20"/>
                      <w:lang w:val="en-ZA" w:eastAsia="en-ZA"/>
                    </w:rPr>
                  </w:pPr>
                  <w:r w:rsidRPr="004A5DDF">
                    <w:rPr>
                      <w:rFonts w:eastAsia="Times New Roman" w:cs="Calibri"/>
                      <w:color w:val="000000"/>
                      <w:sz w:val="20"/>
                      <w:szCs w:val="20"/>
                      <w:lang w:val="en-ZA" w:eastAsia="en-ZA"/>
                    </w:rPr>
                    <w:t> </w:t>
                  </w:r>
                </w:p>
              </w:tc>
              <w:tc>
                <w:tcPr>
                  <w:tcW w:w="1701" w:type="dxa"/>
                  <w:tcBorders>
                    <w:top w:val="single" w:sz="8" w:space="0" w:color="auto"/>
                    <w:left w:val="single" w:sz="8" w:space="0" w:color="auto"/>
                    <w:bottom w:val="nil"/>
                    <w:right w:val="single" w:sz="8" w:space="0" w:color="auto"/>
                  </w:tcBorders>
                  <w:shd w:val="clear" w:color="000000" w:fill="FFFFFF"/>
                  <w:noWrap/>
                  <w:vAlign w:val="bottom"/>
                  <w:hideMark/>
                </w:tcPr>
                <w:p w:rsidR="00E96635" w:rsidRPr="004A5DDF" w:rsidRDefault="00E96635" w:rsidP="00E96635">
                  <w:pPr>
                    <w:spacing w:after="0" w:line="240" w:lineRule="auto"/>
                    <w:rPr>
                      <w:rFonts w:eastAsia="Times New Roman" w:cs="Calibri"/>
                      <w:bCs/>
                      <w:color w:val="000000"/>
                      <w:sz w:val="20"/>
                      <w:szCs w:val="20"/>
                      <w:lang w:val="en-ZA" w:eastAsia="en-ZA"/>
                    </w:rPr>
                  </w:pPr>
                  <w:r w:rsidRPr="004A5DDF">
                    <w:rPr>
                      <w:rFonts w:eastAsia="Times New Roman" w:cs="Calibri"/>
                      <w:bCs/>
                      <w:color w:val="000000"/>
                      <w:sz w:val="20"/>
                      <w:szCs w:val="20"/>
                      <w:lang w:val="en-ZA" w:eastAsia="en-ZA"/>
                    </w:rPr>
                    <w:t> </w:t>
                  </w:r>
                </w:p>
              </w:tc>
              <w:tc>
                <w:tcPr>
                  <w:tcW w:w="1559" w:type="dxa"/>
                  <w:tcBorders>
                    <w:top w:val="single" w:sz="8" w:space="0" w:color="auto"/>
                    <w:left w:val="nil"/>
                    <w:bottom w:val="nil"/>
                    <w:right w:val="single" w:sz="8" w:space="0" w:color="auto"/>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color w:val="000000"/>
                      <w:sz w:val="20"/>
                      <w:szCs w:val="20"/>
                      <w:lang w:val="en-ZA" w:eastAsia="en-ZA"/>
                    </w:rPr>
                  </w:pPr>
                  <w:r w:rsidRPr="004A5DDF">
                    <w:rPr>
                      <w:rFonts w:ascii="Arial" w:eastAsia="Times New Roman" w:hAnsi="Arial" w:cs="Arial"/>
                      <w:color w:val="000000"/>
                      <w:sz w:val="20"/>
                      <w:szCs w:val="20"/>
                      <w:lang w:val="en-ZA" w:eastAsia="en-ZA"/>
                    </w:rPr>
                    <w:t> </w:t>
                  </w:r>
                </w:p>
              </w:tc>
            </w:tr>
            <w:tr w:rsidR="00E96635" w:rsidRPr="004A5DDF" w:rsidTr="00E96635">
              <w:trPr>
                <w:trHeight w:val="300"/>
              </w:trPr>
              <w:tc>
                <w:tcPr>
                  <w:tcW w:w="917" w:type="dxa"/>
                  <w:tcBorders>
                    <w:top w:val="nil"/>
                    <w:left w:val="single" w:sz="8" w:space="0" w:color="auto"/>
                    <w:bottom w:val="single" w:sz="8" w:space="0" w:color="auto"/>
                    <w:right w:val="nil"/>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TOTAL</w:t>
                  </w:r>
                </w:p>
              </w:tc>
              <w:tc>
                <w:tcPr>
                  <w:tcW w:w="1399" w:type="dxa"/>
                  <w:tcBorders>
                    <w:top w:val="nil"/>
                    <w:left w:val="nil"/>
                    <w:bottom w:val="single" w:sz="8" w:space="0" w:color="auto"/>
                    <w:right w:val="nil"/>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 </w:t>
                  </w:r>
                </w:p>
              </w:tc>
              <w:tc>
                <w:tcPr>
                  <w:tcW w:w="1092" w:type="dxa"/>
                  <w:tcBorders>
                    <w:top w:val="nil"/>
                    <w:left w:val="nil"/>
                    <w:bottom w:val="single" w:sz="8" w:space="0" w:color="auto"/>
                    <w:right w:val="nil"/>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 </w:t>
                  </w:r>
                </w:p>
              </w:tc>
              <w:tc>
                <w:tcPr>
                  <w:tcW w:w="1113" w:type="dxa"/>
                  <w:tcBorders>
                    <w:top w:val="nil"/>
                    <w:left w:val="nil"/>
                    <w:bottom w:val="single" w:sz="8" w:space="0" w:color="auto"/>
                    <w:right w:val="nil"/>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 </w:t>
                  </w:r>
                </w:p>
              </w:tc>
              <w:tc>
                <w:tcPr>
                  <w:tcW w:w="1418" w:type="dxa"/>
                  <w:tcBorders>
                    <w:top w:val="nil"/>
                    <w:left w:val="nil"/>
                    <w:bottom w:val="single" w:sz="8" w:space="0" w:color="auto"/>
                    <w:right w:val="nil"/>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 </w:t>
                  </w:r>
                </w:p>
              </w:tc>
              <w:tc>
                <w:tcPr>
                  <w:tcW w:w="1701" w:type="dxa"/>
                  <w:tcBorders>
                    <w:top w:val="nil"/>
                    <w:left w:val="single" w:sz="8" w:space="0" w:color="auto"/>
                    <w:bottom w:val="single" w:sz="8" w:space="0" w:color="auto"/>
                    <w:right w:val="single" w:sz="8" w:space="0" w:color="auto"/>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bCs/>
                      <w:color w:val="000000"/>
                      <w:sz w:val="20"/>
                      <w:szCs w:val="20"/>
                      <w:lang w:val="en-ZA" w:eastAsia="en-ZA"/>
                    </w:rPr>
                  </w:pPr>
                  <w:r w:rsidRPr="004A5DDF">
                    <w:rPr>
                      <w:rFonts w:ascii="Arial" w:eastAsia="Times New Roman" w:hAnsi="Arial" w:cs="Arial"/>
                      <w:bCs/>
                      <w:color w:val="000000"/>
                      <w:sz w:val="20"/>
                      <w:szCs w:val="20"/>
                      <w:lang w:val="en-ZA" w:eastAsia="en-ZA"/>
                    </w:rPr>
                    <w:t xml:space="preserve"> R          323,18 </w:t>
                  </w:r>
                </w:p>
              </w:tc>
              <w:tc>
                <w:tcPr>
                  <w:tcW w:w="1559" w:type="dxa"/>
                  <w:tcBorders>
                    <w:top w:val="nil"/>
                    <w:left w:val="nil"/>
                    <w:bottom w:val="single" w:sz="8" w:space="0" w:color="auto"/>
                    <w:right w:val="single" w:sz="8" w:space="0" w:color="auto"/>
                  </w:tcBorders>
                  <w:shd w:val="clear" w:color="000000" w:fill="FFFFFF"/>
                  <w:noWrap/>
                  <w:vAlign w:val="bottom"/>
                  <w:hideMark/>
                </w:tcPr>
                <w:p w:rsidR="00E96635" w:rsidRPr="004A5DDF" w:rsidRDefault="00E96635" w:rsidP="00E96635">
                  <w:pPr>
                    <w:spacing w:after="0" w:line="240" w:lineRule="auto"/>
                    <w:rPr>
                      <w:rFonts w:ascii="Arial" w:eastAsia="Times New Roman" w:hAnsi="Arial" w:cs="Arial"/>
                      <w:color w:val="000000"/>
                      <w:sz w:val="20"/>
                      <w:szCs w:val="20"/>
                      <w:lang w:val="en-ZA" w:eastAsia="en-ZA"/>
                    </w:rPr>
                  </w:pPr>
                  <w:r w:rsidRPr="004A5DDF">
                    <w:rPr>
                      <w:rFonts w:ascii="Arial" w:eastAsia="Times New Roman" w:hAnsi="Arial" w:cs="Arial"/>
                      <w:color w:val="000000"/>
                      <w:sz w:val="20"/>
                      <w:szCs w:val="20"/>
                      <w:lang w:val="en-ZA" w:eastAsia="en-ZA"/>
                    </w:rPr>
                    <w:t> </w:t>
                  </w:r>
                </w:p>
              </w:tc>
            </w:tr>
          </w:tbl>
          <w:p w:rsidR="00E96635" w:rsidRPr="004A5DDF" w:rsidRDefault="00E96635" w:rsidP="00AE511D">
            <w:pPr>
              <w:spacing w:after="0" w:line="240" w:lineRule="auto"/>
              <w:rPr>
                <w:rFonts w:ascii="Arial" w:eastAsiaTheme="minorHAnsi" w:hAnsi="Arial" w:cs="Arial"/>
                <w:color w:val="000000" w:themeColor="text1"/>
                <w:lang w:val="en-ZA"/>
              </w:rPr>
            </w:pPr>
          </w:p>
          <w:p w:rsidR="00FF0527" w:rsidRPr="004A5DDF" w:rsidRDefault="00FF0527" w:rsidP="00AE511D">
            <w:pPr>
              <w:spacing w:after="0" w:line="240" w:lineRule="auto"/>
              <w:rPr>
                <w:rFonts w:ascii="Arial" w:eastAsiaTheme="minorHAnsi" w:hAnsi="Arial" w:cs="Arial"/>
                <w:color w:val="000000" w:themeColor="text1"/>
                <w:lang w:val="en-ZA"/>
              </w:rPr>
            </w:pPr>
          </w:p>
          <w:p w:rsidR="006903B6" w:rsidRPr="00A26EC1" w:rsidRDefault="006903B6" w:rsidP="0045072E">
            <w:pPr>
              <w:spacing w:after="0" w:line="240" w:lineRule="auto"/>
              <w:rPr>
                <w:rFonts w:ascii="Arial" w:eastAsiaTheme="minorHAnsi" w:hAnsi="Arial" w:cs="Arial"/>
                <w:color w:val="000000" w:themeColor="text1"/>
                <w:lang w:val="en-ZA"/>
              </w:rPr>
            </w:pPr>
          </w:p>
          <w:p w:rsidR="0045072E" w:rsidRPr="00A26EC1" w:rsidRDefault="00FF0527" w:rsidP="0045072E">
            <w:pPr>
              <w:spacing w:after="0" w:line="240" w:lineRule="auto"/>
              <w:rPr>
                <w:rFonts w:ascii="Arial" w:eastAsiaTheme="minorHAnsi" w:hAnsi="Arial" w:cs="Arial"/>
                <w:b/>
                <w:color w:val="000000" w:themeColor="text1"/>
                <w:lang w:val="en-ZA"/>
              </w:rPr>
            </w:pPr>
            <w:r w:rsidRPr="00A26EC1">
              <w:rPr>
                <w:rFonts w:ascii="Arial" w:eastAsiaTheme="minorHAnsi" w:hAnsi="Arial" w:cs="Arial"/>
                <w:color w:val="000000" w:themeColor="text1"/>
                <w:lang w:val="en-ZA"/>
              </w:rPr>
              <w:t xml:space="preserve"> </w:t>
            </w:r>
            <w:r w:rsidR="0045072E" w:rsidRPr="00A26EC1">
              <w:rPr>
                <w:rFonts w:ascii="Arial" w:eastAsiaTheme="minorHAnsi" w:hAnsi="Arial" w:cs="Arial"/>
                <w:b/>
                <w:color w:val="000000" w:themeColor="text1"/>
                <w:lang w:val="en-ZA"/>
              </w:rPr>
              <w:t xml:space="preserve">5.5. Procurement Plan </w:t>
            </w:r>
          </w:p>
          <w:p w:rsidR="00F61CDB" w:rsidRPr="009029F6" w:rsidRDefault="0045072E" w:rsidP="002A746C">
            <w:pPr>
              <w:pStyle w:val="BodyText"/>
              <w:widowControl w:val="0"/>
              <w:tabs>
                <w:tab w:val="left" w:pos="841"/>
              </w:tabs>
              <w:spacing w:before="143" w:after="0" w:line="240" w:lineRule="auto"/>
              <w:jc w:val="both"/>
              <w:rPr>
                <w:rFonts w:ascii="Arial" w:eastAsia="Arial" w:hAnsi="Arial" w:cs="Arial"/>
              </w:rPr>
            </w:pPr>
            <w:r w:rsidRPr="00A26EC1">
              <w:rPr>
                <w:rFonts w:ascii="Arial" w:eastAsia="Arial" w:hAnsi="Arial" w:cs="Arial"/>
              </w:rPr>
              <w:t xml:space="preserve">The objective of the procurement plan is to assist municipalities and municipal entities with the planning for the procurement of goods, works or services in a pro-active manner and to move away from merely reacting to purchasing requests. Demand Management is the first element of the SCM function. The objective is to ensure that the resources required to fulfil the needs identified in the Integrated Development Plan (IDP) of the institution are delivered at the right time, price and place and that the quantity and quality will satisfy those needs of the user (ultimately the provision of services to the community). As part of this element of SCM, a total needs analysis must be undertaken. This analysis must be included as part of the strategic planning process of the institution and will, therefore, incorporate future needs. </w:t>
            </w:r>
            <w:r w:rsidR="009029F6">
              <w:rPr>
                <w:rFonts w:ascii="Arial" w:eastAsia="Arial" w:hAnsi="Arial" w:cs="Arial"/>
              </w:rPr>
              <w:t>Attached is the procurement plan progress as Annexure</w:t>
            </w:r>
            <w:r w:rsidR="00657DE5">
              <w:rPr>
                <w:rFonts w:ascii="Arial" w:eastAsia="Arial" w:hAnsi="Arial" w:cs="Arial"/>
              </w:rPr>
              <w:t xml:space="preserve"> “</w:t>
            </w:r>
            <w:r w:rsidR="009029F6">
              <w:rPr>
                <w:rFonts w:ascii="Arial" w:eastAsia="Arial" w:hAnsi="Arial" w:cs="Arial"/>
              </w:rPr>
              <w:t xml:space="preserve"> E</w:t>
            </w:r>
            <w:r w:rsidR="00657DE5">
              <w:rPr>
                <w:rFonts w:ascii="Arial" w:eastAsia="Arial" w:hAnsi="Arial" w:cs="Arial"/>
              </w:rPr>
              <w:t>”.</w:t>
            </w:r>
          </w:p>
          <w:p w:rsidR="00F61CDB" w:rsidRPr="00A26EC1" w:rsidRDefault="00F61CDB" w:rsidP="00F61CDB">
            <w:pPr>
              <w:widowControl w:val="0"/>
              <w:tabs>
                <w:tab w:val="left" w:pos="841"/>
              </w:tabs>
              <w:spacing w:before="143" w:after="0" w:line="240" w:lineRule="auto"/>
              <w:jc w:val="both"/>
              <w:rPr>
                <w:rFonts w:ascii="Arial" w:eastAsia="Arial" w:hAnsi="Arial" w:cs="Arial"/>
                <w:spacing w:val="-1"/>
              </w:rPr>
            </w:pPr>
          </w:p>
          <w:p w:rsidR="0045072E" w:rsidRPr="00A26EC1" w:rsidRDefault="0045072E" w:rsidP="0045072E">
            <w:pPr>
              <w:pStyle w:val="BodyText"/>
              <w:widowControl w:val="0"/>
              <w:tabs>
                <w:tab w:val="left" w:pos="841"/>
              </w:tabs>
              <w:spacing w:before="143" w:after="0" w:line="240" w:lineRule="auto"/>
              <w:rPr>
                <w:rFonts w:ascii="Arial" w:eastAsia="Arial" w:hAnsi="Arial" w:cs="Arial"/>
                <w:b/>
                <w:spacing w:val="-1"/>
              </w:rPr>
            </w:pPr>
            <w:r w:rsidRPr="00A26EC1">
              <w:rPr>
                <w:rFonts w:ascii="Arial" w:eastAsiaTheme="minorHAnsi" w:hAnsi="Arial" w:cs="Arial"/>
                <w:b/>
                <w:color w:val="000000" w:themeColor="text1"/>
                <w:lang w:val="en-ZA"/>
              </w:rPr>
              <w:t xml:space="preserve">5.6 </w:t>
            </w:r>
            <w:r w:rsidRPr="00A26EC1">
              <w:rPr>
                <w:rFonts w:ascii="Arial" w:eastAsia="Arial" w:hAnsi="Arial" w:cs="Arial"/>
                <w:b/>
                <w:spacing w:val="-1"/>
                <w:sz w:val="20"/>
                <w:szCs w:val="20"/>
              </w:rPr>
              <w:t>Contract Register</w:t>
            </w:r>
          </w:p>
          <w:p w:rsidR="0045072E" w:rsidRPr="0045072E" w:rsidRDefault="0045072E" w:rsidP="0045072E">
            <w:pPr>
              <w:widowControl w:val="0"/>
              <w:tabs>
                <w:tab w:val="left" w:pos="841"/>
              </w:tabs>
              <w:spacing w:before="143" w:after="0" w:line="276" w:lineRule="auto"/>
              <w:jc w:val="both"/>
              <w:rPr>
                <w:rFonts w:ascii="Arial" w:eastAsia="Arial" w:hAnsi="Arial" w:cs="Arial"/>
                <w:spacing w:val="-1"/>
                <w:u w:val="thick"/>
              </w:rPr>
            </w:pPr>
            <w:r w:rsidRPr="0045072E">
              <w:rPr>
                <w:rFonts w:ascii="Arial" w:eastAsia="Arial" w:hAnsi="Arial" w:cs="Arial"/>
                <w:spacing w:val="-1"/>
              </w:rPr>
              <w:t xml:space="preserve">Contracts and contract management are of significance to ensure completeness of all contractual agreements. In terms of section 116 of the Municipal Finance Management Act, No 56 of 2003 “a contract or an agreement procured through the Supply Chain Management system of a municipality or municipality entity must be in writing and stipulate the terms and conditions of the contract or agreement, which must include *provisions providing for the termination of the contract or agreement in the case of non or underperformance. Municipalities are requested to their contract register to the provincial treasury to ensure uniformity on contract management as per circular 35 of 2019. See attached contract register as Annexure </w:t>
            </w:r>
            <w:r w:rsidR="00F61CDB">
              <w:rPr>
                <w:rFonts w:ascii="Arial" w:eastAsia="Arial" w:hAnsi="Arial" w:cs="Arial"/>
                <w:spacing w:val="-1"/>
              </w:rPr>
              <w:t>“</w:t>
            </w:r>
            <w:r w:rsidR="009029F6">
              <w:rPr>
                <w:rFonts w:ascii="Arial" w:eastAsia="Arial" w:hAnsi="Arial" w:cs="Arial"/>
                <w:spacing w:val="-1"/>
              </w:rPr>
              <w:t>F</w:t>
            </w:r>
            <w:r w:rsidRPr="0045072E">
              <w:rPr>
                <w:rFonts w:ascii="Arial" w:eastAsia="Arial" w:hAnsi="Arial" w:cs="Arial"/>
                <w:spacing w:val="-1"/>
              </w:rPr>
              <w:t xml:space="preserve"> </w:t>
            </w:r>
            <w:r w:rsidR="00F61CDB">
              <w:rPr>
                <w:rFonts w:ascii="Arial" w:eastAsia="Arial" w:hAnsi="Arial" w:cs="Arial"/>
                <w:spacing w:val="-1"/>
              </w:rPr>
              <w:t>“</w:t>
            </w:r>
          </w:p>
          <w:p w:rsidR="00AE511D" w:rsidRPr="00A26EC1" w:rsidRDefault="00AE511D" w:rsidP="00AE511D">
            <w:pPr>
              <w:spacing w:after="0" w:line="240" w:lineRule="auto"/>
              <w:rPr>
                <w:rFonts w:ascii="Arial" w:eastAsiaTheme="minorHAnsi" w:hAnsi="Arial" w:cs="Arial"/>
                <w:color w:val="000000" w:themeColor="text1"/>
                <w:lang w:val="en-ZA"/>
              </w:rPr>
            </w:pPr>
          </w:p>
          <w:p w:rsidR="00AE511D" w:rsidRPr="00A26EC1" w:rsidRDefault="00AE511D" w:rsidP="00AE511D">
            <w:pPr>
              <w:spacing w:after="0" w:line="240" w:lineRule="auto"/>
              <w:rPr>
                <w:rFonts w:ascii="Arial" w:eastAsiaTheme="minorHAnsi" w:hAnsi="Arial" w:cs="Arial"/>
                <w:color w:val="000000" w:themeColor="text1"/>
                <w:lang w:val="en-ZA"/>
              </w:rPr>
            </w:pPr>
          </w:p>
        </w:tc>
      </w:tr>
      <w:tr w:rsidR="00AE511D" w:rsidRPr="00E62ADC" w:rsidTr="00E96635">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p>
        </w:tc>
        <w:tc>
          <w:tcPr>
            <w:tcW w:w="9459" w:type="dxa"/>
          </w:tcPr>
          <w:p w:rsidR="00AE511D" w:rsidRPr="00E62ADC" w:rsidRDefault="00AE511D" w:rsidP="00AE511D">
            <w:pPr>
              <w:spacing w:after="0" w:line="240" w:lineRule="auto"/>
              <w:rPr>
                <w:rFonts w:ascii="Britannic Bold" w:eastAsiaTheme="minorHAnsi" w:hAnsi="Britannic Bold" w:cs="Arial"/>
                <w:color w:val="000000" w:themeColor="text1"/>
                <w:lang w:val="en-ZA"/>
              </w:rPr>
            </w:pPr>
          </w:p>
        </w:tc>
      </w:tr>
      <w:tr w:rsidR="00AE511D" w:rsidRPr="00E62ADC" w:rsidTr="00E96635">
        <w:tc>
          <w:tcPr>
            <w:tcW w:w="606" w:type="dxa"/>
          </w:tcPr>
          <w:p w:rsidR="00AE511D" w:rsidRPr="00E62ADC" w:rsidRDefault="00EB796C" w:rsidP="00AE511D">
            <w:pPr>
              <w:spacing w:after="0" w:line="240" w:lineRule="auto"/>
              <w:rPr>
                <w:rFonts w:ascii="Britannic Bold" w:eastAsiaTheme="minorHAnsi" w:hAnsi="Britannic Bold" w:cs="Arial"/>
                <w:sz w:val="20"/>
                <w:szCs w:val="20"/>
                <w:lang w:val="en-ZA"/>
              </w:rPr>
            </w:pPr>
            <w:r w:rsidRPr="00E62ADC">
              <w:rPr>
                <w:rFonts w:ascii="Britannic Bold" w:eastAsiaTheme="minorHAnsi" w:hAnsi="Britannic Bold" w:cs="Arial"/>
                <w:sz w:val="20"/>
                <w:szCs w:val="20"/>
                <w:lang w:val="en-ZA"/>
              </w:rPr>
              <w:t>7.</w:t>
            </w:r>
          </w:p>
        </w:tc>
        <w:tc>
          <w:tcPr>
            <w:tcW w:w="9459" w:type="dxa"/>
          </w:tcPr>
          <w:p w:rsidR="00AE511D" w:rsidRPr="00E62ADC" w:rsidRDefault="00AE511D" w:rsidP="00AE511D">
            <w:pPr>
              <w:spacing w:after="0" w:line="240" w:lineRule="auto"/>
              <w:rPr>
                <w:rFonts w:ascii="Britannic Bold" w:eastAsiaTheme="minorHAnsi" w:hAnsi="Britannic Bold" w:cs="Arial"/>
                <w:color w:val="000000" w:themeColor="text1"/>
                <w:lang w:val="en-ZA"/>
              </w:rPr>
            </w:pPr>
            <w:r w:rsidRPr="00E62ADC">
              <w:rPr>
                <w:rFonts w:ascii="Britannic Bold" w:eastAsiaTheme="minorHAnsi" w:hAnsi="Britannic Bold" w:cs="Arial"/>
                <w:color w:val="000000" w:themeColor="text1"/>
                <w:lang w:val="en-ZA"/>
              </w:rPr>
              <w:t>STAKEHOLDER CONSULTED</w:t>
            </w:r>
          </w:p>
          <w:p w:rsidR="00AE511D" w:rsidRPr="00E62ADC" w:rsidRDefault="00AE511D" w:rsidP="00AE511D">
            <w:pPr>
              <w:spacing w:after="0" w:line="240" w:lineRule="auto"/>
              <w:rPr>
                <w:rFonts w:ascii="Britannic Bold" w:eastAsiaTheme="minorHAnsi" w:hAnsi="Britannic Bold" w:cs="Arial"/>
                <w:color w:val="000000" w:themeColor="text1"/>
                <w:lang w:val="en-ZA"/>
              </w:rPr>
            </w:pPr>
          </w:p>
        </w:tc>
      </w:tr>
      <w:tr w:rsidR="00AE511D" w:rsidRPr="00E62ADC" w:rsidTr="00E96635">
        <w:tc>
          <w:tcPr>
            <w:tcW w:w="606" w:type="dxa"/>
          </w:tcPr>
          <w:p w:rsidR="00AE511D" w:rsidRPr="00E62ADC" w:rsidRDefault="00AE511D" w:rsidP="00AE511D">
            <w:pPr>
              <w:spacing w:line="240" w:lineRule="auto"/>
              <w:rPr>
                <w:rFonts w:ascii="Britannic Bold" w:eastAsiaTheme="minorHAnsi" w:hAnsi="Britannic Bold" w:cs="Arial"/>
                <w:sz w:val="20"/>
                <w:szCs w:val="20"/>
                <w:lang w:val="en-ZA"/>
              </w:rPr>
            </w:pPr>
          </w:p>
        </w:tc>
        <w:tc>
          <w:tcPr>
            <w:tcW w:w="9459" w:type="dxa"/>
          </w:tcPr>
          <w:p w:rsidR="00AE511D" w:rsidRPr="00A26EC1" w:rsidRDefault="00EB796C" w:rsidP="00AE511D">
            <w:pPr>
              <w:spacing w:line="240" w:lineRule="auto"/>
              <w:jc w:val="both"/>
              <w:rPr>
                <w:rFonts w:ascii="Arial" w:eastAsiaTheme="minorHAnsi" w:hAnsi="Arial" w:cs="Arial"/>
                <w:color w:val="000000" w:themeColor="text1"/>
                <w:lang w:val="en-ZA"/>
              </w:rPr>
            </w:pPr>
            <w:r w:rsidRPr="00A26EC1">
              <w:rPr>
                <w:rFonts w:ascii="Arial" w:eastAsiaTheme="minorHAnsi" w:hAnsi="Arial" w:cs="Arial"/>
                <w:color w:val="000000" w:themeColor="text1"/>
                <w:lang w:val="en-ZA"/>
              </w:rPr>
              <w:t>None</w:t>
            </w:r>
          </w:p>
        </w:tc>
      </w:tr>
      <w:tr w:rsidR="00AE511D" w:rsidRPr="00E62ADC" w:rsidTr="00E96635">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r w:rsidRPr="00E62ADC">
              <w:rPr>
                <w:rFonts w:ascii="Britannic Bold" w:eastAsiaTheme="minorHAnsi" w:hAnsi="Britannic Bold" w:cs="Arial"/>
                <w:sz w:val="20"/>
                <w:szCs w:val="20"/>
                <w:lang w:val="en-ZA"/>
              </w:rPr>
              <w:t>9</w:t>
            </w:r>
          </w:p>
        </w:tc>
        <w:tc>
          <w:tcPr>
            <w:tcW w:w="9459" w:type="dxa"/>
          </w:tcPr>
          <w:p w:rsidR="00AE511D" w:rsidRPr="00E62ADC" w:rsidRDefault="00AE511D" w:rsidP="00AE511D">
            <w:pPr>
              <w:spacing w:after="0" w:line="240" w:lineRule="auto"/>
              <w:rPr>
                <w:rFonts w:ascii="Britannic Bold" w:eastAsiaTheme="minorHAnsi" w:hAnsi="Britannic Bold" w:cs="Arial"/>
                <w:color w:val="000000" w:themeColor="text1"/>
                <w:lang w:val="en-ZA"/>
              </w:rPr>
            </w:pPr>
            <w:r w:rsidRPr="00E62ADC">
              <w:rPr>
                <w:rFonts w:ascii="Britannic Bold" w:eastAsiaTheme="minorHAnsi" w:hAnsi="Britannic Bold" w:cs="Arial"/>
                <w:color w:val="000000" w:themeColor="text1"/>
                <w:lang w:val="en-ZA"/>
              </w:rPr>
              <w:t>HUMAN RESOURCE IMPLICATION</w:t>
            </w:r>
          </w:p>
          <w:p w:rsidR="00AE511D" w:rsidRPr="00E62ADC" w:rsidRDefault="00AE511D" w:rsidP="00AE511D">
            <w:pPr>
              <w:spacing w:after="0" w:line="240" w:lineRule="auto"/>
              <w:rPr>
                <w:rFonts w:ascii="Britannic Bold" w:eastAsiaTheme="minorHAnsi" w:hAnsi="Britannic Bold" w:cs="Arial"/>
                <w:color w:val="000000" w:themeColor="text1"/>
                <w:lang w:val="en-ZA"/>
              </w:rPr>
            </w:pPr>
          </w:p>
        </w:tc>
      </w:tr>
      <w:tr w:rsidR="00AE511D" w:rsidRPr="00E62ADC" w:rsidTr="00E96635">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p>
        </w:tc>
        <w:tc>
          <w:tcPr>
            <w:tcW w:w="9459" w:type="dxa"/>
          </w:tcPr>
          <w:p w:rsidR="00AE511D" w:rsidRPr="00A26EC1" w:rsidRDefault="00EB796C" w:rsidP="00AE511D">
            <w:pPr>
              <w:spacing w:after="0" w:line="240" w:lineRule="auto"/>
              <w:rPr>
                <w:rFonts w:ascii="Arial" w:eastAsiaTheme="minorHAnsi" w:hAnsi="Arial" w:cs="Arial"/>
                <w:color w:val="000000" w:themeColor="text1"/>
                <w:sz w:val="20"/>
                <w:szCs w:val="20"/>
                <w:lang w:val="en-ZA"/>
              </w:rPr>
            </w:pPr>
            <w:r w:rsidRPr="00A26EC1">
              <w:rPr>
                <w:rFonts w:ascii="Arial" w:eastAsiaTheme="minorHAnsi" w:hAnsi="Arial" w:cs="Arial"/>
                <w:color w:val="000000" w:themeColor="text1"/>
                <w:sz w:val="20"/>
                <w:szCs w:val="20"/>
                <w:lang w:val="en-ZA"/>
              </w:rPr>
              <w:t>None</w:t>
            </w:r>
          </w:p>
          <w:p w:rsidR="00AE511D" w:rsidRPr="00E62ADC" w:rsidRDefault="00AE511D" w:rsidP="00AE511D">
            <w:pPr>
              <w:spacing w:after="0" w:line="240" w:lineRule="auto"/>
              <w:rPr>
                <w:rFonts w:ascii="Britannic Bold" w:eastAsiaTheme="minorHAnsi" w:hAnsi="Britannic Bold" w:cs="Arial"/>
                <w:color w:val="000000" w:themeColor="text1"/>
                <w:lang w:val="en-ZA"/>
              </w:rPr>
            </w:pPr>
          </w:p>
        </w:tc>
      </w:tr>
      <w:tr w:rsidR="00AE511D" w:rsidRPr="00E62ADC" w:rsidTr="00E96635">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r w:rsidRPr="00E62ADC">
              <w:rPr>
                <w:rFonts w:ascii="Britannic Bold" w:eastAsiaTheme="minorHAnsi" w:hAnsi="Britannic Bold" w:cs="Arial"/>
                <w:sz w:val="20"/>
                <w:szCs w:val="20"/>
                <w:lang w:val="en-ZA"/>
              </w:rPr>
              <w:t>10</w:t>
            </w:r>
          </w:p>
        </w:tc>
        <w:tc>
          <w:tcPr>
            <w:tcW w:w="9459" w:type="dxa"/>
          </w:tcPr>
          <w:p w:rsidR="00AE511D" w:rsidRPr="00E62ADC" w:rsidRDefault="00AE511D" w:rsidP="00AE511D">
            <w:pPr>
              <w:spacing w:after="0" w:line="240" w:lineRule="auto"/>
              <w:rPr>
                <w:rFonts w:ascii="Britannic Bold" w:eastAsiaTheme="minorHAnsi" w:hAnsi="Britannic Bold" w:cs="Arial"/>
                <w:color w:val="000000" w:themeColor="text1"/>
                <w:lang w:val="en-ZA"/>
              </w:rPr>
            </w:pPr>
            <w:r w:rsidRPr="00E62ADC">
              <w:rPr>
                <w:rFonts w:ascii="Britannic Bold" w:eastAsiaTheme="minorHAnsi" w:hAnsi="Britannic Bold" w:cs="Arial"/>
                <w:color w:val="000000" w:themeColor="text1"/>
                <w:lang w:val="en-ZA"/>
              </w:rPr>
              <w:t>LEGAL IMPLICATIONS</w:t>
            </w:r>
          </w:p>
          <w:p w:rsidR="00AE511D" w:rsidRPr="00E62ADC" w:rsidRDefault="00AE511D" w:rsidP="00AE511D">
            <w:pPr>
              <w:spacing w:after="0" w:line="240" w:lineRule="auto"/>
              <w:rPr>
                <w:rFonts w:ascii="Britannic Bold" w:eastAsiaTheme="minorHAnsi" w:hAnsi="Britannic Bold" w:cs="Arial"/>
                <w:color w:val="FF0000"/>
                <w:lang w:val="en-ZA"/>
              </w:rPr>
            </w:pPr>
          </w:p>
        </w:tc>
      </w:tr>
      <w:tr w:rsidR="00AE511D" w:rsidRPr="00E62ADC" w:rsidTr="00E96635">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p>
        </w:tc>
        <w:tc>
          <w:tcPr>
            <w:tcW w:w="9459" w:type="dxa"/>
          </w:tcPr>
          <w:p w:rsidR="00AE511D" w:rsidRPr="00A26EC1" w:rsidRDefault="00EB796C" w:rsidP="00AE511D">
            <w:pPr>
              <w:spacing w:after="0" w:line="240" w:lineRule="auto"/>
              <w:rPr>
                <w:rFonts w:ascii="Arial" w:eastAsiaTheme="minorHAnsi" w:hAnsi="Arial" w:cs="Arial"/>
                <w:lang w:val="en-ZA"/>
              </w:rPr>
            </w:pPr>
            <w:r w:rsidRPr="00A26EC1">
              <w:rPr>
                <w:rFonts w:ascii="Arial" w:eastAsiaTheme="minorHAnsi" w:hAnsi="Arial" w:cs="Arial"/>
                <w:sz w:val="20"/>
                <w:lang w:val="en-ZA"/>
              </w:rPr>
              <w:t>No</w:t>
            </w:r>
            <w:r w:rsidR="00A26EC1" w:rsidRPr="00A26EC1">
              <w:rPr>
                <w:rFonts w:ascii="Arial" w:eastAsiaTheme="minorHAnsi" w:hAnsi="Arial" w:cs="Arial"/>
                <w:sz w:val="20"/>
                <w:lang w:val="en-ZA"/>
              </w:rPr>
              <w:t xml:space="preserve">ne </w:t>
            </w:r>
          </w:p>
          <w:p w:rsidR="00AE511D" w:rsidRPr="00E62ADC" w:rsidRDefault="00AE511D" w:rsidP="00AE511D">
            <w:pPr>
              <w:spacing w:after="0" w:line="240" w:lineRule="auto"/>
              <w:rPr>
                <w:rFonts w:ascii="Britannic Bold" w:eastAsiaTheme="minorHAnsi" w:hAnsi="Britannic Bold" w:cs="Arial"/>
                <w:sz w:val="20"/>
                <w:lang w:val="en-ZA"/>
              </w:rPr>
            </w:pPr>
          </w:p>
        </w:tc>
      </w:tr>
      <w:tr w:rsidR="00AE511D" w:rsidRPr="00E62ADC" w:rsidTr="00E96635">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r w:rsidRPr="00E62ADC">
              <w:rPr>
                <w:rFonts w:ascii="Britannic Bold" w:eastAsiaTheme="minorHAnsi" w:hAnsi="Britannic Bold" w:cs="Arial"/>
                <w:sz w:val="20"/>
                <w:szCs w:val="20"/>
                <w:lang w:val="en-ZA"/>
              </w:rPr>
              <w:t>11</w:t>
            </w:r>
          </w:p>
        </w:tc>
        <w:tc>
          <w:tcPr>
            <w:tcW w:w="9459" w:type="dxa"/>
          </w:tcPr>
          <w:p w:rsidR="00AE511D" w:rsidRPr="00E62ADC" w:rsidRDefault="00AE511D" w:rsidP="00AE511D">
            <w:pPr>
              <w:spacing w:after="0" w:line="240" w:lineRule="auto"/>
              <w:rPr>
                <w:rFonts w:ascii="Britannic Bold" w:eastAsiaTheme="minorHAnsi" w:hAnsi="Britannic Bold" w:cs="Arial"/>
                <w:lang w:val="en-ZA"/>
              </w:rPr>
            </w:pPr>
            <w:r w:rsidRPr="00E62ADC">
              <w:rPr>
                <w:rFonts w:ascii="Britannic Bold" w:eastAsiaTheme="minorHAnsi" w:hAnsi="Britannic Bold" w:cs="Arial"/>
                <w:lang w:val="en-ZA"/>
              </w:rPr>
              <w:t>FINANCIAL IMPLICATIONS</w:t>
            </w:r>
          </w:p>
          <w:p w:rsidR="00AE511D" w:rsidRPr="00E62ADC" w:rsidRDefault="00AE511D" w:rsidP="00AE511D">
            <w:pPr>
              <w:spacing w:after="0" w:line="240" w:lineRule="auto"/>
              <w:rPr>
                <w:rFonts w:ascii="Britannic Bold" w:eastAsiaTheme="minorHAnsi" w:hAnsi="Britannic Bold" w:cs="Arial"/>
                <w:lang w:val="en-ZA"/>
              </w:rPr>
            </w:pPr>
          </w:p>
        </w:tc>
      </w:tr>
      <w:tr w:rsidR="00AE511D" w:rsidRPr="00E62ADC" w:rsidTr="00E96635">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p>
        </w:tc>
        <w:tc>
          <w:tcPr>
            <w:tcW w:w="9459" w:type="dxa"/>
          </w:tcPr>
          <w:p w:rsidR="00AE511D" w:rsidRPr="00A26EC1" w:rsidRDefault="00EB796C" w:rsidP="00AE511D">
            <w:pPr>
              <w:spacing w:after="0" w:line="240" w:lineRule="auto"/>
              <w:rPr>
                <w:rFonts w:ascii="Arial" w:eastAsiaTheme="minorHAnsi" w:hAnsi="Arial" w:cs="Arial"/>
                <w:sz w:val="20"/>
                <w:szCs w:val="20"/>
                <w:lang w:val="en-ZA"/>
              </w:rPr>
            </w:pPr>
            <w:r w:rsidRPr="00A26EC1">
              <w:rPr>
                <w:rFonts w:ascii="Arial" w:eastAsiaTheme="minorHAnsi" w:hAnsi="Arial" w:cs="Arial"/>
                <w:sz w:val="20"/>
                <w:szCs w:val="20"/>
                <w:lang w:val="en-ZA"/>
              </w:rPr>
              <w:t>None</w:t>
            </w:r>
          </w:p>
          <w:p w:rsidR="00AE511D" w:rsidRPr="00E62ADC" w:rsidRDefault="00AE511D" w:rsidP="00AE511D">
            <w:pPr>
              <w:spacing w:after="0" w:line="240" w:lineRule="auto"/>
              <w:rPr>
                <w:rFonts w:ascii="Britannic Bold" w:eastAsiaTheme="minorHAnsi" w:hAnsi="Britannic Bold" w:cs="Arial"/>
                <w:lang w:val="en-ZA"/>
              </w:rPr>
            </w:pPr>
          </w:p>
        </w:tc>
      </w:tr>
      <w:tr w:rsidR="00AE511D" w:rsidRPr="00E62ADC" w:rsidTr="00E96635">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r w:rsidRPr="00E62ADC">
              <w:rPr>
                <w:rFonts w:ascii="Britannic Bold" w:eastAsiaTheme="minorHAnsi" w:hAnsi="Britannic Bold" w:cs="Arial"/>
                <w:sz w:val="20"/>
                <w:szCs w:val="20"/>
                <w:lang w:val="en-ZA"/>
              </w:rPr>
              <w:t>12</w:t>
            </w:r>
          </w:p>
        </w:tc>
        <w:tc>
          <w:tcPr>
            <w:tcW w:w="9459" w:type="dxa"/>
          </w:tcPr>
          <w:p w:rsidR="00AE511D" w:rsidRPr="00E62ADC" w:rsidRDefault="00AE511D" w:rsidP="00AE511D">
            <w:pPr>
              <w:spacing w:after="0" w:line="240" w:lineRule="auto"/>
              <w:rPr>
                <w:rFonts w:ascii="Britannic Bold" w:eastAsiaTheme="minorHAnsi" w:hAnsi="Britannic Bold" w:cs="Arial"/>
                <w:lang w:val="en-ZA"/>
              </w:rPr>
            </w:pPr>
            <w:r w:rsidRPr="00E62ADC">
              <w:rPr>
                <w:rFonts w:ascii="Britannic Bold" w:eastAsiaTheme="minorHAnsi" w:hAnsi="Britannic Bold" w:cs="Arial"/>
                <w:lang w:val="en-ZA"/>
              </w:rPr>
              <w:t>OTHER IMPLICATIONS</w:t>
            </w:r>
          </w:p>
          <w:p w:rsidR="00AE511D" w:rsidRPr="00E62ADC" w:rsidRDefault="00AE511D" w:rsidP="00AE511D">
            <w:pPr>
              <w:spacing w:after="0" w:line="240" w:lineRule="auto"/>
              <w:rPr>
                <w:rFonts w:ascii="Britannic Bold" w:eastAsiaTheme="minorHAnsi" w:hAnsi="Britannic Bold" w:cs="Arial"/>
                <w:lang w:val="en-ZA"/>
              </w:rPr>
            </w:pPr>
          </w:p>
        </w:tc>
      </w:tr>
      <w:tr w:rsidR="00AE511D" w:rsidRPr="00E62ADC" w:rsidTr="00E96635">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p>
        </w:tc>
        <w:tc>
          <w:tcPr>
            <w:tcW w:w="9459" w:type="dxa"/>
          </w:tcPr>
          <w:p w:rsidR="00AE511D" w:rsidRPr="00A26EC1" w:rsidRDefault="00EB796C" w:rsidP="00EB796C">
            <w:pPr>
              <w:spacing w:after="0" w:line="240" w:lineRule="auto"/>
              <w:rPr>
                <w:rFonts w:ascii="Arial" w:eastAsiaTheme="minorHAnsi" w:hAnsi="Arial" w:cs="Arial"/>
                <w:sz w:val="20"/>
                <w:lang w:val="en-ZA"/>
              </w:rPr>
            </w:pPr>
            <w:r w:rsidRPr="00A26EC1">
              <w:rPr>
                <w:rFonts w:ascii="Arial" w:eastAsiaTheme="minorHAnsi" w:hAnsi="Arial" w:cs="Arial"/>
                <w:sz w:val="20"/>
                <w:lang w:val="en-ZA"/>
              </w:rPr>
              <w:t xml:space="preserve">None </w:t>
            </w:r>
          </w:p>
          <w:p w:rsidR="00EB796C" w:rsidRPr="00E62ADC" w:rsidRDefault="00EB796C" w:rsidP="00EB796C">
            <w:pPr>
              <w:spacing w:after="0" w:line="240" w:lineRule="auto"/>
              <w:rPr>
                <w:rFonts w:ascii="Britannic Bold" w:eastAsiaTheme="minorHAnsi" w:hAnsi="Britannic Bold" w:cs="Arial"/>
                <w:sz w:val="20"/>
                <w:lang w:val="en-ZA"/>
              </w:rPr>
            </w:pPr>
          </w:p>
          <w:p w:rsidR="00EB796C" w:rsidRPr="00E62ADC" w:rsidRDefault="00EB796C" w:rsidP="00EB796C">
            <w:pPr>
              <w:spacing w:after="0" w:line="240" w:lineRule="auto"/>
              <w:rPr>
                <w:rFonts w:ascii="Britannic Bold" w:eastAsiaTheme="minorHAnsi" w:hAnsi="Britannic Bold" w:cs="Arial"/>
                <w:sz w:val="20"/>
                <w:lang w:val="en-ZA"/>
              </w:rPr>
            </w:pPr>
          </w:p>
          <w:p w:rsidR="00EB796C" w:rsidRPr="00E62ADC" w:rsidRDefault="00EB796C" w:rsidP="00EB796C">
            <w:pPr>
              <w:spacing w:after="0" w:line="240" w:lineRule="auto"/>
              <w:rPr>
                <w:rFonts w:ascii="Britannic Bold" w:eastAsiaTheme="minorHAnsi" w:hAnsi="Britannic Bold" w:cs="Arial"/>
                <w:sz w:val="20"/>
                <w:lang w:val="en-ZA"/>
              </w:rPr>
            </w:pPr>
          </w:p>
        </w:tc>
      </w:tr>
      <w:tr w:rsidR="00AE511D" w:rsidRPr="00E62ADC" w:rsidTr="00E96635">
        <w:tc>
          <w:tcPr>
            <w:tcW w:w="606" w:type="dxa"/>
          </w:tcPr>
          <w:p w:rsidR="00AE511D" w:rsidRPr="00E62ADC" w:rsidRDefault="00AE511D" w:rsidP="00AE511D">
            <w:pPr>
              <w:spacing w:after="0" w:line="240" w:lineRule="auto"/>
              <w:rPr>
                <w:rFonts w:ascii="Britannic Bold" w:eastAsiaTheme="minorHAnsi" w:hAnsi="Britannic Bold" w:cs="Arial"/>
                <w:sz w:val="20"/>
                <w:szCs w:val="20"/>
                <w:lang w:val="en-ZA"/>
              </w:rPr>
            </w:pPr>
            <w:r w:rsidRPr="00E62ADC">
              <w:rPr>
                <w:rFonts w:ascii="Britannic Bold" w:eastAsiaTheme="minorHAnsi" w:hAnsi="Britannic Bold" w:cs="Arial"/>
                <w:sz w:val="20"/>
                <w:szCs w:val="20"/>
                <w:lang w:val="en-ZA"/>
              </w:rPr>
              <w:t>13</w:t>
            </w:r>
          </w:p>
          <w:p w:rsidR="00AE511D" w:rsidRPr="00E62ADC" w:rsidRDefault="00AE511D" w:rsidP="00AE511D">
            <w:pPr>
              <w:spacing w:after="0" w:line="240" w:lineRule="auto"/>
              <w:rPr>
                <w:rFonts w:ascii="Britannic Bold" w:eastAsiaTheme="minorHAnsi" w:hAnsi="Britannic Bold" w:cs="Arial"/>
                <w:sz w:val="20"/>
                <w:szCs w:val="20"/>
                <w:lang w:val="en-ZA"/>
              </w:rPr>
            </w:pPr>
          </w:p>
        </w:tc>
        <w:tc>
          <w:tcPr>
            <w:tcW w:w="9459" w:type="dxa"/>
          </w:tcPr>
          <w:p w:rsidR="00AE511D" w:rsidRPr="00E62ADC" w:rsidRDefault="00AA78EC" w:rsidP="00AE511D">
            <w:pPr>
              <w:spacing w:after="0" w:line="240" w:lineRule="auto"/>
              <w:rPr>
                <w:rFonts w:ascii="Britannic Bold" w:eastAsiaTheme="minorHAnsi" w:hAnsi="Britannic Bold" w:cs="Arial"/>
                <w:color w:val="000000" w:themeColor="text1"/>
                <w:lang w:val="en-ZA"/>
              </w:rPr>
            </w:pPr>
            <w:r>
              <w:rPr>
                <w:rFonts w:ascii="Britannic Bold" w:eastAsiaTheme="minorHAnsi" w:hAnsi="Britannic Bold" w:cs="Arial"/>
                <w:color w:val="000000" w:themeColor="text1"/>
                <w:lang w:val="en-ZA"/>
              </w:rPr>
              <w:t xml:space="preserve">IT IS THEREFORE SUGGESTED THAT: </w:t>
            </w:r>
          </w:p>
          <w:p w:rsidR="00AE511D" w:rsidRPr="00E62ADC" w:rsidRDefault="00AE511D" w:rsidP="00AE511D">
            <w:pPr>
              <w:spacing w:after="0" w:line="240" w:lineRule="auto"/>
              <w:rPr>
                <w:rFonts w:ascii="Britannic Bold" w:eastAsiaTheme="minorHAnsi" w:hAnsi="Britannic Bold" w:cs="Arial"/>
                <w:color w:val="000000" w:themeColor="text1"/>
                <w:lang w:val="en-ZA"/>
              </w:rPr>
            </w:pPr>
          </w:p>
        </w:tc>
      </w:tr>
    </w:tbl>
    <w:p w:rsidR="00A26EC1" w:rsidRPr="00A26EC1" w:rsidRDefault="00A26EC1" w:rsidP="00A26EC1">
      <w:pPr>
        <w:numPr>
          <w:ilvl w:val="0"/>
          <w:numId w:val="6"/>
        </w:numPr>
        <w:spacing w:after="0" w:line="240" w:lineRule="auto"/>
        <w:jc w:val="both"/>
        <w:rPr>
          <w:rFonts w:ascii="Arial" w:eastAsiaTheme="minorHAnsi" w:hAnsi="Arial" w:cs="Arial"/>
          <w:lang w:val="en-ZA"/>
        </w:rPr>
      </w:pPr>
      <w:r w:rsidRPr="00A26EC1">
        <w:rPr>
          <w:rFonts w:ascii="Arial" w:eastAsiaTheme="minorHAnsi" w:hAnsi="Arial" w:cs="Arial"/>
          <w:lang w:val="en-ZA"/>
        </w:rPr>
        <w:t xml:space="preserve">Supply Chain Management third quarter report for the quarter ending </w:t>
      </w:r>
      <w:r>
        <w:rPr>
          <w:rFonts w:ascii="Arial" w:eastAsiaTheme="minorHAnsi" w:hAnsi="Arial" w:cs="Arial"/>
          <w:b/>
          <w:lang w:val="en-ZA"/>
        </w:rPr>
        <w:t>31</w:t>
      </w:r>
      <w:r>
        <w:rPr>
          <w:rFonts w:ascii="Arial" w:eastAsiaTheme="minorHAnsi" w:hAnsi="Arial" w:cs="Arial"/>
          <w:b/>
          <w:vertAlign w:val="superscript"/>
          <w:lang w:val="en-ZA"/>
        </w:rPr>
        <w:t>st</w:t>
      </w:r>
      <w:r w:rsidR="00BD3AFF">
        <w:rPr>
          <w:rFonts w:ascii="Arial" w:eastAsiaTheme="minorHAnsi" w:hAnsi="Arial" w:cs="Arial"/>
          <w:b/>
          <w:lang w:val="en-ZA"/>
        </w:rPr>
        <w:t xml:space="preserve"> March 2022</w:t>
      </w:r>
      <w:r w:rsidRPr="00A26EC1">
        <w:rPr>
          <w:rFonts w:ascii="Arial" w:eastAsiaTheme="minorHAnsi" w:hAnsi="Arial" w:cs="Arial"/>
          <w:b/>
          <w:lang w:val="en-ZA"/>
        </w:rPr>
        <w:t xml:space="preserve"> </w:t>
      </w:r>
      <w:r w:rsidRPr="00A26EC1">
        <w:rPr>
          <w:rFonts w:ascii="Arial" w:eastAsiaTheme="minorHAnsi" w:hAnsi="Arial" w:cs="Arial"/>
          <w:lang w:val="en-ZA"/>
        </w:rPr>
        <w:t xml:space="preserve">be noted as per section 6 (3) of the MFMA Act and Regulations. </w:t>
      </w:r>
      <w:r w:rsidRPr="0063376C">
        <w:rPr>
          <w:rFonts w:ascii="Arial" w:eastAsiaTheme="minorHAnsi" w:hAnsi="Arial" w:cs="Arial"/>
          <w:b/>
          <w:lang w:val="en-ZA"/>
        </w:rPr>
        <w:t>(Attached as Annexure “A”)</w:t>
      </w:r>
      <w:r w:rsidRPr="00A26EC1">
        <w:rPr>
          <w:rFonts w:ascii="Arial" w:eastAsiaTheme="minorHAnsi" w:hAnsi="Arial" w:cs="Arial"/>
          <w:lang w:val="en-ZA"/>
        </w:rPr>
        <w:t xml:space="preserve"> </w:t>
      </w:r>
    </w:p>
    <w:p w:rsidR="00A26EC1" w:rsidRPr="00A26EC1" w:rsidRDefault="00A26EC1" w:rsidP="00A26EC1">
      <w:pPr>
        <w:spacing w:after="0" w:line="240" w:lineRule="auto"/>
        <w:ind w:left="720"/>
        <w:jc w:val="both"/>
        <w:rPr>
          <w:rFonts w:ascii="Arial" w:eastAsiaTheme="minorHAnsi" w:hAnsi="Arial" w:cs="Arial"/>
          <w:lang w:val="en-ZA"/>
        </w:rPr>
      </w:pPr>
    </w:p>
    <w:p w:rsidR="009029F6" w:rsidRPr="00A26EC1" w:rsidRDefault="009029F6" w:rsidP="009029F6">
      <w:pPr>
        <w:numPr>
          <w:ilvl w:val="0"/>
          <w:numId w:val="6"/>
        </w:numPr>
        <w:spacing w:after="0" w:line="240" w:lineRule="auto"/>
        <w:jc w:val="both"/>
        <w:rPr>
          <w:rFonts w:ascii="Arial" w:eastAsiaTheme="minorHAnsi" w:hAnsi="Arial" w:cs="Arial"/>
          <w:lang w:val="en-ZA"/>
        </w:rPr>
      </w:pPr>
      <w:r>
        <w:rPr>
          <w:rFonts w:ascii="Arial" w:eastAsiaTheme="minorHAnsi" w:hAnsi="Arial" w:cs="Arial"/>
          <w:lang w:val="en-ZA"/>
        </w:rPr>
        <w:t>Competitive bids (Tender Register) appointed these quarter be noted. In terms of MFMA Section 19. Attached as Annexure “</w:t>
      </w:r>
      <w:r w:rsidRPr="00657DE5">
        <w:rPr>
          <w:rFonts w:ascii="Arial" w:eastAsiaTheme="minorHAnsi" w:hAnsi="Arial" w:cs="Arial"/>
          <w:b/>
          <w:lang w:val="en-ZA"/>
        </w:rPr>
        <w:t>B1</w:t>
      </w:r>
      <w:r>
        <w:rPr>
          <w:rFonts w:ascii="Arial" w:eastAsiaTheme="minorHAnsi" w:hAnsi="Arial" w:cs="Arial"/>
          <w:lang w:val="en-ZA"/>
        </w:rPr>
        <w:t xml:space="preserve"> and National Treasur</w:t>
      </w:r>
      <w:r w:rsidR="0063376C">
        <w:rPr>
          <w:rFonts w:ascii="Arial" w:eastAsiaTheme="minorHAnsi" w:hAnsi="Arial" w:cs="Arial"/>
          <w:lang w:val="en-ZA"/>
        </w:rPr>
        <w:t xml:space="preserve">y notice be noted </w:t>
      </w:r>
      <w:r w:rsidR="0063376C" w:rsidRPr="0063376C">
        <w:rPr>
          <w:rFonts w:ascii="Arial" w:eastAsiaTheme="minorHAnsi" w:hAnsi="Arial" w:cs="Arial"/>
          <w:b/>
          <w:lang w:val="en-ZA"/>
        </w:rPr>
        <w:t xml:space="preserve">Attached as </w:t>
      </w:r>
      <w:r w:rsidRPr="0063376C">
        <w:rPr>
          <w:rFonts w:ascii="Arial" w:eastAsiaTheme="minorHAnsi" w:hAnsi="Arial" w:cs="Arial"/>
          <w:b/>
          <w:lang w:val="en-ZA"/>
        </w:rPr>
        <w:t>Annexure “B2</w:t>
      </w:r>
      <w:r>
        <w:rPr>
          <w:rFonts w:ascii="Arial" w:eastAsiaTheme="minorHAnsi" w:hAnsi="Arial" w:cs="Arial"/>
          <w:lang w:val="en-ZA"/>
        </w:rPr>
        <w:t>”</w:t>
      </w:r>
    </w:p>
    <w:p w:rsidR="009029F6" w:rsidRPr="00A26EC1" w:rsidRDefault="009029F6" w:rsidP="009029F6">
      <w:pPr>
        <w:spacing w:after="0" w:line="240" w:lineRule="auto"/>
        <w:ind w:left="720"/>
        <w:jc w:val="both"/>
        <w:rPr>
          <w:rFonts w:ascii="Arial" w:eastAsiaTheme="minorHAnsi" w:hAnsi="Arial" w:cs="Arial"/>
        </w:rPr>
      </w:pPr>
    </w:p>
    <w:p w:rsidR="00A26EC1" w:rsidRPr="0063376C" w:rsidRDefault="00A26EC1" w:rsidP="009029F6">
      <w:pPr>
        <w:numPr>
          <w:ilvl w:val="0"/>
          <w:numId w:val="6"/>
        </w:numPr>
        <w:spacing w:after="0" w:line="240" w:lineRule="auto"/>
        <w:jc w:val="both"/>
        <w:rPr>
          <w:rFonts w:ascii="Arial" w:eastAsiaTheme="minorHAnsi" w:hAnsi="Arial" w:cs="Arial"/>
          <w:lang w:val="en-ZA"/>
        </w:rPr>
      </w:pPr>
      <w:r w:rsidRPr="009029F6">
        <w:rPr>
          <w:rFonts w:ascii="Arial" w:eastAsiaTheme="minorHAnsi" w:hAnsi="Arial" w:cs="Arial"/>
          <w:lang w:val="en-ZA"/>
        </w:rPr>
        <w:t>Supply Chain Management</w:t>
      </w:r>
      <w:r w:rsidR="00BD3AFF" w:rsidRPr="009029F6">
        <w:rPr>
          <w:rFonts w:ascii="Arial" w:eastAsiaTheme="minorHAnsi" w:hAnsi="Arial" w:cs="Arial"/>
          <w:lang w:val="en-ZA"/>
        </w:rPr>
        <w:t xml:space="preserve"> deviations report amounting to</w:t>
      </w:r>
      <w:r w:rsidRPr="009029F6">
        <w:rPr>
          <w:rFonts w:ascii="Arial" w:eastAsiaTheme="minorHAnsi" w:hAnsi="Arial" w:cs="Arial"/>
          <w:b/>
          <w:lang w:val="en-ZA"/>
        </w:rPr>
        <w:t xml:space="preserve"> </w:t>
      </w:r>
      <w:r w:rsidR="00BD3AFF" w:rsidRPr="009029F6">
        <w:rPr>
          <w:rFonts w:ascii="Arial" w:eastAsiaTheme="minorHAnsi" w:hAnsi="Arial" w:cs="Arial"/>
          <w:b/>
          <w:lang w:val="en-ZA"/>
        </w:rPr>
        <w:t>R186 761, 36</w:t>
      </w:r>
      <w:r w:rsidR="00BD3AFF" w:rsidRPr="009029F6">
        <w:rPr>
          <w:rFonts w:ascii="Arial" w:eastAsiaTheme="minorHAnsi" w:hAnsi="Arial" w:cs="Arial"/>
          <w:lang w:val="en-ZA"/>
        </w:rPr>
        <w:t xml:space="preserve"> </w:t>
      </w:r>
      <w:r w:rsidRPr="009029F6">
        <w:rPr>
          <w:rFonts w:ascii="Arial" w:eastAsiaTheme="minorHAnsi" w:hAnsi="Arial" w:cs="Arial"/>
          <w:b/>
        </w:rPr>
        <w:t xml:space="preserve">as at </w:t>
      </w:r>
      <w:r w:rsidRPr="009029F6">
        <w:rPr>
          <w:rFonts w:ascii="Arial" w:eastAsiaTheme="minorHAnsi" w:hAnsi="Arial" w:cs="Arial"/>
          <w:b/>
          <w:lang w:val="en-ZA"/>
        </w:rPr>
        <w:t>31</w:t>
      </w:r>
      <w:r w:rsidRPr="009029F6">
        <w:rPr>
          <w:rFonts w:ascii="Arial" w:eastAsiaTheme="minorHAnsi" w:hAnsi="Arial" w:cs="Arial"/>
          <w:b/>
          <w:vertAlign w:val="superscript"/>
          <w:lang w:val="en-ZA"/>
        </w:rPr>
        <w:t>st</w:t>
      </w:r>
      <w:r w:rsidR="00BD3AFF" w:rsidRPr="009029F6">
        <w:rPr>
          <w:rFonts w:ascii="Arial" w:eastAsiaTheme="minorHAnsi" w:hAnsi="Arial" w:cs="Arial"/>
          <w:b/>
          <w:lang w:val="en-ZA"/>
        </w:rPr>
        <w:t xml:space="preserve"> March 2022</w:t>
      </w:r>
      <w:r w:rsidR="00AA78EC" w:rsidRPr="009029F6">
        <w:rPr>
          <w:rFonts w:ascii="Arial" w:eastAsiaTheme="minorHAnsi" w:hAnsi="Arial" w:cs="Arial"/>
          <w:b/>
          <w:lang w:val="en-ZA"/>
        </w:rPr>
        <w:t xml:space="preserve"> </w:t>
      </w:r>
      <w:r w:rsidRPr="009029F6">
        <w:rPr>
          <w:rFonts w:ascii="Arial" w:eastAsiaTheme="minorHAnsi" w:hAnsi="Arial" w:cs="Arial"/>
          <w:lang w:val="en-ZA"/>
        </w:rPr>
        <w:t>be noted as per section 36 (2) of the MFMA Act and Regulati</w:t>
      </w:r>
      <w:r w:rsidR="009029F6">
        <w:rPr>
          <w:rFonts w:ascii="Arial" w:eastAsiaTheme="minorHAnsi" w:hAnsi="Arial" w:cs="Arial"/>
          <w:lang w:val="en-ZA"/>
        </w:rPr>
        <w:t>ons.  (</w:t>
      </w:r>
      <w:r w:rsidR="009029F6" w:rsidRPr="0063376C">
        <w:rPr>
          <w:rFonts w:ascii="Arial" w:eastAsiaTheme="minorHAnsi" w:hAnsi="Arial" w:cs="Arial"/>
          <w:b/>
          <w:lang w:val="en-ZA"/>
        </w:rPr>
        <w:t>Attached as Annexure “C”</w:t>
      </w:r>
      <w:r w:rsidRPr="0063376C">
        <w:rPr>
          <w:rFonts w:ascii="Arial" w:eastAsiaTheme="minorHAnsi" w:hAnsi="Arial" w:cs="Arial"/>
          <w:b/>
          <w:lang w:val="en-ZA"/>
        </w:rPr>
        <w:t>)</w:t>
      </w:r>
      <w:r w:rsidRPr="0063376C">
        <w:rPr>
          <w:rFonts w:ascii="Arial" w:eastAsiaTheme="minorHAnsi" w:hAnsi="Arial" w:cs="Arial"/>
          <w:lang w:val="en-ZA"/>
        </w:rPr>
        <w:t xml:space="preserve"> </w:t>
      </w:r>
    </w:p>
    <w:p w:rsidR="00A26EC1" w:rsidRPr="00A26EC1" w:rsidRDefault="00A26EC1" w:rsidP="00A26EC1">
      <w:pPr>
        <w:widowControl w:val="0"/>
        <w:spacing w:after="0" w:line="240" w:lineRule="auto"/>
        <w:rPr>
          <w:rFonts w:ascii="Arial" w:eastAsiaTheme="minorHAnsi" w:hAnsi="Arial" w:cs="Arial"/>
        </w:rPr>
      </w:pPr>
    </w:p>
    <w:p w:rsidR="00A26EC1" w:rsidRPr="00BD3AFF" w:rsidRDefault="00BD3AFF" w:rsidP="00BD3AFF">
      <w:pPr>
        <w:numPr>
          <w:ilvl w:val="0"/>
          <w:numId w:val="6"/>
        </w:numPr>
        <w:spacing w:after="0" w:line="240" w:lineRule="auto"/>
        <w:jc w:val="both"/>
        <w:rPr>
          <w:rFonts w:ascii="Arial" w:eastAsiaTheme="minorHAnsi" w:hAnsi="Arial" w:cs="Arial"/>
          <w:b/>
          <w:bCs/>
          <w:lang w:val="en-ZA"/>
        </w:rPr>
      </w:pPr>
      <w:r>
        <w:rPr>
          <w:rFonts w:ascii="Arial" w:eastAsiaTheme="minorHAnsi" w:hAnsi="Arial" w:cs="Arial"/>
        </w:rPr>
        <w:t xml:space="preserve">Irregular expenditure </w:t>
      </w:r>
      <w:r w:rsidR="00A26EC1" w:rsidRPr="00A26EC1">
        <w:rPr>
          <w:rFonts w:ascii="Arial" w:eastAsiaTheme="minorHAnsi" w:hAnsi="Arial" w:cs="Arial"/>
        </w:rPr>
        <w:t xml:space="preserve">2019-2020 amounting to </w:t>
      </w:r>
      <w:r w:rsidR="00A26EC1" w:rsidRPr="00A26EC1">
        <w:rPr>
          <w:rFonts w:ascii="Arial" w:eastAsiaTheme="minorHAnsi" w:hAnsi="Arial" w:cs="Arial"/>
          <w:b/>
        </w:rPr>
        <w:t>R</w:t>
      </w:r>
      <w:r>
        <w:rPr>
          <w:rFonts w:ascii="Arial" w:eastAsiaTheme="minorHAnsi" w:hAnsi="Arial" w:cs="Arial"/>
          <w:b/>
          <w:bCs/>
        </w:rPr>
        <w:t xml:space="preserve"> </w:t>
      </w:r>
      <w:r w:rsidRPr="00BD3AFF">
        <w:rPr>
          <w:rFonts w:ascii="Arial" w:eastAsiaTheme="minorHAnsi" w:hAnsi="Arial" w:cs="Arial"/>
          <w:b/>
          <w:bCs/>
        </w:rPr>
        <w:t>27 093 238,</w:t>
      </w:r>
      <w:r>
        <w:rPr>
          <w:rFonts w:ascii="Arial" w:eastAsiaTheme="minorHAnsi" w:hAnsi="Arial" w:cs="Arial"/>
          <w:b/>
          <w:bCs/>
        </w:rPr>
        <w:t xml:space="preserve"> 50</w:t>
      </w:r>
      <w:r w:rsidRPr="00BD3AFF">
        <w:rPr>
          <w:rFonts w:ascii="Arial" w:eastAsiaTheme="minorHAnsi" w:hAnsi="Arial" w:cs="Arial"/>
          <w:b/>
        </w:rPr>
        <w:t xml:space="preserve"> </w:t>
      </w:r>
      <w:r w:rsidR="00AA78EC" w:rsidRPr="00BD3AFF">
        <w:rPr>
          <w:rFonts w:ascii="Arial" w:eastAsiaTheme="minorHAnsi" w:hAnsi="Arial" w:cs="Arial"/>
          <w:b/>
        </w:rPr>
        <w:t>as at 31</w:t>
      </w:r>
      <w:r w:rsidR="00AA78EC" w:rsidRPr="00BD3AFF">
        <w:rPr>
          <w:rFonts w:ascii="Arial" w:eastAsiaTheme="minorHAnsi" w:hAnsi="Arial" w:cs="Arial"/>
          <w:b/>
          <w:vertAlign w:val="superscript"/>
        </w:rPr>
        <w:t>st</w:t>
      </w:r>
      <w:r>
        <w:rPr>
          <w:rFonts w:ascii="Arial" w:eastAsiaTheme="minorHAnsi" w:hAnsi="Arial" w:cs="Arial"/>
          <w:b/>
        </w:rPr>
        <w:t xml:space="preserve"> March 2022</w:t>
      </w:r>
      <w:r w:rsidR="00A26EC1" w:rsidRPr="00BD3AFF">
        <w:rPr>
          <w:rFonts w:ascii="Arial" w:eastAsiaTheme="minorHAnsi" w:hAnsi="Arial" w:cs="Arial"/>
        </w:rPr>
        <w:t xml:space="preserve"> be noted. In terms of MFMA secti</w:t>
      </w:r>
      <w:r w:rsidR="009029F6">
        <w:rPr>
          <w:rFonts w:ascii="Arial" w:eastAsiaTheme="minorHAnsi" w:hAnsi="Arial" w:cs="Arial"/>
        </w:rPr>
        <w:t xml:space="preserve">on 32(5) </w:t>
      </w:r>
      <w:r w:rsidR="009029F6" w:rsidRPr="0063376C">
        <w:rPr>
          <w:rFonts w:ascii="Arial" w:eastAsiaTheme="minorHAnsi" w:hAnsi="Arial" w:cs="Arial"/>
          <w:b/>
        </w:rPr>
        <w:t>Attached as Annexure “D1</w:t>
      </w:r>
      <w:r w:rsidR="00A26EC1" w:rsidRPr="0063376C">
        <w:rPr>
          <w:rFonts w:ascii="Arial" w:eastAsiaTheme="minorHAnsi" w:hAnsi="Arial" w:cs="Arial"/>
          <w:b/>
        </w:rPr>
        <w:t>”)</w:t>
      </w:r>
    </w:p>
    <w:p w:rsidR="00BD3AFF" w:rsidRDefault="00BD3AFF" w:rsidP="00BD3AFF">
      <w:pPr>
        <w:pStyle w:val="ListParagraph"/>
        <w:rPr>
          <w:rFonts w:ascii="Arial" w:eastAsiaTheme="minorHAnsi" w:hAnsi="Arial" w:cs="Arial"/>
          <w:b/>
          <w:bCs/>
          <w:lang w:val="en-ZA"/>
        </w:rPr>
      </w:pPr>
    </w:p>
    <w:p w:rsidR="00BD3AFF" w:rsidRPr="00B50108" w:rsidRDefault="00BD3AFF" w:rsidP="00BD3AFF">
      <w:pPr>
        <w:numPr>
          <w:ilvl w:val="0"/>
          <w:numId w:val="6"/>
        </w:numPr>
        <w:spacing w:after="0" w:line="240" w:lineRule="auto"/>
        <w:jc w:val="both"/>
        <w:rPr>
          <w:rFonts w:ascii="Arial" w:eastAsiaTheme="minorHAnsi" w:hAnsi="Arial" w:cs="Arial"/>
          <w:bCs/>
          <w:lang w:val="en-ZA"/>
        </w:rPr>
      </w:pPr>
      <w:r w:rsidRPr="00B50108">
        <w:rPr>
          <w:rFonts w:ascii="Arial" w:eastAsiaTheme="minorHAnsi" w:hAnsi="Arial" w:cs="Arial"/>
          <w:bCs/>
          <w:lang w:val="en-ZA"/>
        </w:rPr>
        <w:t>Fruitless expenditure</w:t>
      </w:r>
      <w:r w:rsidR="00B50108">
        <w:rPr>
          <w:rFonts w:ascii="Arial" w:eastAsiaTheme="minorHAnsi" w:hAnsi="Arial" w:cs="Arial"/>
          <w:bCs/>
          <w:lang w:val="en-ZA"/>
        </w:rPr>
        <w:t xml:space="preserve"> amounting to </w:t>
      </w:r>
      <w:r w:rsidR="00B50108" w:rsidRPr="0063376C">
        <w:rPr>
          <w:rFonts w:ascii="Arial" w:eastAsiaTheme="minorHAnsi" w:hAnsi="Arial" w:cs="Arial"/>
          <w:b/>
          <w:bCs/>
          <w:lang w:val="en-ZA"/>
        </w:rPr>
        <w:t>R323, 18</w:t>
      </w:r>
      <w:r w:rsidR="0063376C" w:rsidRPr="0063376C">
        <w:rPr>
          <w:rFonts w:ascii="Arial" w:eastAsiaTheme="minorHAnsi" w:hAnsi="Arial" w:cs="Arial"/>
          <w:b/>
          <w:bCs/>
          <w:lang w:val="en-ZA"/>
        </w:rPr>
        <w:t xml:space="preserve"> as at 31</w:t>
      </w:r>
      <w:r w:rsidR="0063376C" w:rsidRPr="0063376C">
        <w:rPr>
          <w:rFonts w:ascii="Arial" w:eastAsiaTheme="minorHAnsi" w:hAnsi="Arial" w:cs="Arial"/>
          <w:b/>
          <w:bCs/>
          <w:vertAlign w:val="superscript"/>
          <w:lang w:val="en-ZA"/>
        </w:rPr>
        <w:t>st</w:t>
      </w:r>
      <w:r w:rsidR="0063376C" w:rsidRPr="0063376C">
        <w:rPr>
          <w:rFonts w:ascii="Arial" w:eastAsiaTheme="minorHAnsi" w:hAnsi="Arial" w:cs="Arial"/>
          <w:b/>
          <w:bCs/>
          <w:lang w:val="en-ZA"/>
        </w:rPr>
        <w:t xml:space="preserve"> March 2022</w:t>
      </w:r>
      <w:r w:rsidR="00B50108">
        <w:rPr>
          <w:rFonts w:ascii="Arial" w:eastAsiaTheme="minorHAnsi" w:hAnsi="Arial" w:cs="Arial"/>
          <w:bCs/>
          <w:lang w:val="en-ZA"/>
        </w:rPr>
        <w:t xml:space="preserve"> be noted. In terms of MFMA Section 32(5)  (</w:t>
      </w:r>
      <w:r w:rsidR="00B50108" w:rsidRPr="0063376C">
        <w:rPr>
          <w:rFonts w:ascii="Arial" w:eastAsiaTheme="minorHAnsi" w:hAnsi="Arial" w:cs="Arial"/>
          <w:b/>
          <w:bCs/>
          <w:lang w:val="en-ZA"/>
        </w:rPr>
        <w:t>Attached as Annexure D</w:t>
      </w:r>
      <w:r w:rsidR="009029F6" w:rsidRPr="0063376C">
        <w:rPr>
          <w:rFonts w:ascii="Arial" w:eastAsiaTheme="minorHAnsi" w:hAnsi="Arial" w:cs="Arial"/>
          <w:b/>
          <w:bCs/>
          <w:lang w:val="en-ZA"/>
        </w:rPr>
        <w:t>2</w:t>
      </w:r>
      <w:r w:rsidR="00B50108" w:rsidRPr="0063376C">
        <w:rPr>
          <w:rFonts w:ascii="Arial" w:eastAsiaTheme="minorHAnsi" w:hAnsi="Arial" w:cs="Arial"/>
          <w:b/>
          <w:bCs/>
          <w:lang w:val="en-ZA"/>
        </w:rPr>
        <w:t>)</w:t>
      </w:r>
      <w:r w:rsidR="00B50108">
        <w:rPr>
          <w:rFonts w:ascii="Arial" w:eastAsiaTheme="minorHAnsi" w:hAnsi="Arial" w:cs="Arial"/>
          <w:bCs/>
          <w:lang w:val="en-ZA"/>
        </w:rPr>
        <w:t xml:space="preserve"> </w:t>
      </w:r>
    </w:p>
    <w:p w:rsidR="00AA78EC" w:rsidRDefault="00AA78EC" w:rsidP="00AA78EC">
      <w:pPr>
        <w:pStyle w:val="ListParagraph"/>
        <w:rPr>
          <w:rFonts w:ascii="Arial" w:eastAsiaTheme="minorHAnsi" w:hAnsi="Arial" w:cs="Arial"/>
        </w:rPr>
      </w:pPr>
    </w:p>
    <w:p w:rsidR="00AA78EC" w:rsidRDefault="00BD3AFF" w:rsidP="00A26EC1">
      <w:pPr>
        <w:numPr>
          <w:ilvl w:val="0"/>
          <w:numId w:val="6"/>
        </w:numPr>
        <w:spacing w:after="0" w:line="240" w:lineRule="auto"/>
        <w:jc w:val="both"/>
        <w:rPr>
          <w:rFonts w:ascii="Arial" w:eastAsiaTheme="minorHAnsi" w:hAnsi="Arial" w:cs="Arial"/>
        </w:rPr>
      </w:pPr>
      <w:r>
        <w:rPr>
          <w:rFonts w:ascii="Arial" w:eastAsiaTheme="minorHAnsi" w:hAnsi="Arial" w:cs="Arial"/>
        </w:rPr>
        <w:t xml:space="preserve">Unauthorized </w:t>
      </w:r>
      <w:r w:rsidR="008A101D" w:rsidRPr="008A101D">
        <w:rPr>
          <w:rFonts w:ascii="Arial" w:eastAsiaTheme="minorHAnsi" w:hAnsi="Arial" w:cs="Arial"/>
          <w:b/>
        </w:rPr>
        <w:t>R 00</w:t>
      </w:r>
      <w:r w:rsidR="00AA78EC">
        <w:rPr>
          <w:rFonts w:ascii="Arial" w:eastAsiaTheme="minorHAnsi" w:hAnsi="Arial" w:cs="Arial"/>
        </w:rPr>
        <w:t xml:space="preserve"> as at </w:t>
      </w:r>
      <w:r w:rsidR="00AA78EC" w:rsidRPr="00AA78EC">
        <w:rPr>
          <w:rFonts w:ascii="Arial" w:eastAsiaTheme="minorHAnsi" w:hAnsi="Arial" w:cs="Arial"/>
          <w:b/>
        </w:rPr>
        <w:t>31</w:t>
      </w:r>
      <w:r w:rsidR="00AA78EC" w:rsidRPr="00AA78EC">
        <w:rPr>
          <w:rFonts w:ascii="Arial" w:eastAsiaTheme="minorHAnsi" w:hAnsi="Arial" w:cs="Arial"/>
          <w:b/>
          <w:vertAlign w:val="superscript"/>
        </w:rPr>
        <w:t xml:space="preserve">st  </w:t>
      </w:r>
      <w:r w:rsidR="00AA78EC">
        <w:rPr>
          <w:rFonts w:ascii="Arial" w:eastAsiaTheme="minorHAnsi" w:hAnsi="Arial" w:cs="Arial"/>
          <w:b/>
          <w:vertAlign w:val="superscript"/>
        </w:rPr>
        <w:t xml:space="preserve"> </w:t>
      </w:r>
      <w:r>
        <w:rPr>
          <w:rFonts w:ascii="Arial" w:eastAsiaTheme="minorHAnsi" w:hAnsi="Arial" w:cs="Arial"/>
          <w:b/>
        </w:rPr>
        <w:t>March</w:t>
      </w:r>
      <w:r w:rsidR="00B50108">
        <w:rPr>
          <w:rFonts w:ascii="Arial" w:eastAsiaTheme="minorHAnsi" w:hAnsi="Arial" w:cs="Arial"/>
          <w:b/>
        </w:rPr>
        <w:t xml:space="preserve"> 2022</w:t>
      </w:r>
      <w:r w:rsidR="00AA78EC">
        <w:rPr>
          <w:rFonts w:ascii="Arial" w:eastAsiaTheme="minorHAnsi" w:hAnsi="Arial" w:cs="Arial"/>
          <w:b/>
        </w:rPr>
        <w:t xml:space="preserve">. </w:t>
      </w:r>
      <w:r w:rsidR="00AA78EC">
        <w:rPr>
          <w:rFonts w:ascii="Arial" w:eastAsiaTheme="minorHAnsi" w:hAnsi="Arial" w:cs="Arial"/>
        </w:rPr>
        <w:t xml:space="preserve">  </w:t>
      </w:r>
    </w:p>
    <w:p w:rsidR="00AA78EC" w:rsidRDefault="00AA78EC" w:rsidP="00AA78EC">
      <w:pPr>
        <w:pStyle w:val="ListParagraph"/>
        <w:rPr>
          <w:rFonts w:ascii="Arial" w:eastAsiaTheme="minorHAnsi" w:hAnsi="Arial" w:cs="Arial"/>
        </w:rPr>
      </w:pPr>
    </w:p>
    <w:p w:rsidR="00AA78EC" w:rsidRPr="00A26EC1" w:rsidRDefault="00AA78EC" w:rsidP="00AA78EC">
      <w:pPr>
        <w:numPr>
          <w:ilvl w:val="0"/>
          <w:numId w:val="6"/>
        </w:numPr>
        <w:spacing w:after="0" w:line="240" w:lineRule="auto"/>
        <w:jc w:val="both"/>
        <w:rPr>
          <w:rFonts w:ascii="Arial" w:eastAsiaTheme="minorHAnsi" w:hAnsi="Arial" w:cs="Arial"/>
          <w:lang w:val="en-ZA"/>
        </w:rPr>
      </w:pPr>
      <w:r w:rsidRPr="00A26EC1">
        <w:rPr>
          <w:rFonts w:ascii="Arial" w:eastAsiaTheme="minorHAnsi" w:hAnsi="Arial" w:cs="Arial"/>
          <w:lang w:val="en-ZA"/>
        </w:rPr>
        <w:t xml:space="preserve">The </w:t>
      </w:r>
      <w:r w:rsidR="00B50108">
        <w:rPr>
          <w:rFonts w:ascii="Arial" w:eastAsiaTheme="minorHAnsi" w:hAnsi="Arial" w:cs="Arial"/>
          <w:lang w:val="en-ZA"/>
        </w:rPr>
        <w:t xml:space="preserve">procurement plan as at 31 March 2022 there is no progress due to constitutional court ruling on PPPFA 2017.  </w:t>
      </w:r>
      <w:r w:rsidR="004A5DDF">
        <w:rPr>
          <w:rFonts w:ascii="Arial" w:eastAsiaTheme="minorHAnsi" w:hAnsi="Arial" w:cs="Arial"/>
          <w:lang w:val="en-ZA"/>
        </w:rPr>
        <w:t xml:space="preserve">Competitive bids appointed these quarter be noted. In terms of MFMA Section 19. Attached as </w:t>
      </w:r>
      <w:r w:rsidR="004A5DDF" w:rsidRPr="0063376C">
        <w:rPr>
          <w:rFonts w:ascii="Arial" w:eastAsiaTheme="minorHAnsi" w:hAnsi="Arial" w:cs="Arial"/>
          <w:b/>
          <w:lang w:val="en-ZA"/>
        </w:rPr>
        <w:t xml:space="preserve">Annexure </w:t>
      </w:r>
      <w:r w:rsidR="0063376C" w:rsidRPr="0063376C">
        <w:rPr>
          <w:rFonts w:ascii="Arial" w:eastAsiaTheme="minorHAnsi" w:hAnsi="Arial" w:cs="Arial"/>
          <w:b/>
          <w:lang w:val="en-ZA"/>
        </w:rPr>
        <w:t>“</w:t>
      </w:r>
      <w:r w:rsidR="004A5DDF" w:rsidRPr="0063376C">
        <w:rPr>
          <w:rFonts w:ascii="Arial" w:eastAsiaTheme="minorHAnsi" w:hAnsi="Arial" w:cs="Arial"/>
          <w:b/>
          <w:lang w:val="en-ZA"/>
        </w:rPr>
        <w:t>E</w:t>
      </w:r>
      <w:r w:rsidR="0063376C" w:rsidRPr="0063376C">
        <w:rPr>
          <w:rFonts w:ascii="Arial" w:eastAsiaTheme="minorHAnsi" w:hAnsi="Arial" w:cs="Arial"/>
          <w:b/>
          <w:lang w:val="en-ZA"/>
        </w:rPr>
        <w:t>”</w:t>
      </w:r>
    </w:p>
    <w:p w:rsidR="00AA78EC" w:rsidRPr="00A26EC1" w:rsidRDefault="00AA78EC" w:rsidP="00AA78EC">
      <w:pPr>
        <w:spacing w:after="0" w:line="240" w:lineRule="auto"/>
        <w:ind w:left="720"/>
        <w:jc w:val="both"/>
        <w:rPr>
          <w:rFonts w:ascii="Arial" w:eastAsiaTheme="minorHAnsi" w:hAnsi="Arial" w:cs="Arial"/>
        </w:rPr>
      </w:pPr>
    </w:p>
    <w:p w:rsidR="00A26EC1" w:rsidRPr="00A26EC1" w:rsidRDefault="00A26EC1" w:rsidP="00A26EC1">
      <w:pPr>
        <w:spacing w:after="0" w:line="240" w:lineRule="auto"/>
        <w:jc w:val="both"/>
        <w:rPr>
          <w:rFonts w:ascii="Arial" w:eastAsiaTheme="minorHAnsi" w:hAnsi="Arial" w:cs="Arial"/>
        </w:rPr>
      </w:pPr>
    </w:p>
    <w:p w:rsidR="00A26EC1" w:rsidRPr="00A26EC1" w:rsidRDefault="00A26EC1" w:rsidP="00A26EC1">
      <w:pPr>
        <w:numPr>
          <w:ilvl w:val="0"/>
          <w:numId w:val="6"/>
        </w:numPr>
        <w:spacing w:after="0" w:line="240" w:lineRule="auto"/>
        <w:jc w:val="both"/>
        <w:rPr>
          <w:rFonts w:ascii="Arial" w:eastAsiaTheme="minorHAnsi" w:hAnsi="Arial" w:cs="Arial"/>
          <w:lang w:val="en-ZA"/>
        </w:rPr>
      </w:pPr>
      <w:r w:rsidRPr="00A26EC1">
        <w:rPr>
          <w:rFonts w:ascii="Arial" w:eastAsiaTheme="minorHAnsi" w:hAnsi="Arial" w:cs="Arial"/>
          <w:lang w:val="en-ZA"/>
        </w:rPr>
        <w:t xml:space="preserve">The contract register report as at </w:t>
      </w:r>
      <w:r w:rsidR="00AA78EC">
        <w:rPr>
          <w:rFonts w:ascii="Arial" w:eastAsiaTheme="minorHAnsi" w:hAnsi="Arial" w:cs="Arial"/>
          <w:b/>
          <w:lang w:val="en-ZA"/>
        </w:rPr>
        <w:t>31</w:t>
      </w:r>
      <w:r w:rsidR="00AA78EC">
        <w:rPr>
          <w:rFonts w:ascii="Arial" w:eastAsiaTheme="minorHAnsi" w:hAnsi="Arial" w:cs="Arial"/>
          <w:b/>
          <w:vertAlign w:val="superscript"/>
          <w:lang w:val="en-ZA"/>
        </w:rPr>
        <w:t>st</w:t>
      </w:r>
      <w:r w:rsidR="00B50108">
        <w:rPr>
          <w:rFonts w:ascii="Arial" w:eastAsiaTheme="minorHAnsi" w:hAnsi="Arial" w:cs="Arial"/>
          <w:b/>
          <w:lang w:val="en-ZA"/>
        </w:rPr>
        <w:t xml:space="preserve"> March 2022</w:t>
      </w:r>
      <w:r w:rsidRPr="00A26EC1">
        <w:rPr>
          <w:rFonts w:ascii="Arial" w:eastAsiaTheme="minorHAnsi" w:hAnsi="Arial" w:cs="Arial"/>
          <w:lang w:val="en-ZA"/>
        </w:rPr>
        <w:t xml:space="preserve"> be noted as per </w:t>
      </w:r>
      <w:r w:rsidR="0063376C">
        <w:rPr>
          <w:rFonts w:ascii="Arial" w:eastAsiaTheme="minorHAnsi" w:hAnsi="Arial" w:cs="Arial"/>
          <w:lang w:val="en-ZA"/>
        </w:rPr>
        <w:t xml:space="preserve">circular 35 of 2019. </w:t>
      </w:r>
      <w:r w:rsidR="0063376C" w:rsidRPr="0063376C">
        <w:rPr>
          <w:rFonts w:ascii="Arial" w:eastAsiaTheme="minorHAnsi" w:hAnsi="Arial" w:cs="Arial"/>
          <w:b/>
          <w:lang w:val="en-ZA"/>
        </w:rPr>
        <w:t>(</w:t>
      </w:r>
      <w:r w:rsidR="0063376C">
        <w:rPr>
          <w:rFonts w:ascii="Arial" w:eastAsiaTheme="minorHAnsi" w:hAnsi="Arial" w:cs="Arial"/>
          <w:b/>
          <w:lang w:val="en-ZA"/>
        </w:rPr>
        <w:t xml:space="preserve">Attached as </w:t>
      </w:r>
      <w:r w:rsidR="0063376C" w:rsidRPr="0063376C">
        <w:rPr>
          <w:rFonts w:ascii="Arial" w:eastAsiaTheme="minorHAnsi" w:hAnsi="Arial" w:cs="Arial"/>
          <w:b/>
          <w:lang w:val="en-ZA"/>
        </w:rPr>
        <w:t>Annexure F</w:t>
      </w:r>
      <w:r w:rsidRPr="0063376C">
        <w:rPr>
          <w:rFonts w:ascii="Arial" w:eastAsiaTheme="minorHAnsi" w:hAnsi="Arial" w:cs="Arial"/>
          <w:b/>
          <w:lang w:val="en-ZA"/>
        </w:rPr>
        <w:t>)</w:t>
      </w:r>
      <w:r w:rsidRPr="00A26EC1">
        <w:rPr>
          <w:rFonts w:ascii="Arial" w:eastAsiaTheme="minorHAnsi" w:hAnsi="Arial" w:cs="Arial"/>
          <w:lang w:val="en-ZA"/>
        </w:rPr>
        <w:t>.</w:t>
      </w:r>
    </w:p>
    <w:p w:rsidR="00A26EC1" w:rsidRPr="00A26EC1" w:rsidRDefault="00A26EC1" w:rsidP="00A26EC1">
      <w:pPr>
        <w:widowControl w:val="0"/>
        <w:spacing w:after="0" w:line="240" w:lineRule="auto"/>
        <w:rPr>
          <w:rFonts w:ascii="Arial" w:eastAsiaTheme="minorHAnsi" w:hAnsi="Arial" w:cs="Arial"/>
        </w:rPr>
      </w:pPr>
    </w:p>
    <w:p w:rsidR="00A26EC1" w:rsidRPr="00A26EC1" w:rsidRDefault="00A26EC1" w:rsidP="00A26EC1">
      <w:pPr>
        <w:spacing w:after="0" w:line="240" w:lineRule="auto"/>
        <w:ind w:left="720"/>
        <w:jc w:val="both"/>
        <w:rPr>
          <w:rFonts w:ascii="Arial" w:eastAsiaTheme="minorHAnsi" w:hAnsi="Arial" w:cs="Arial"/>
          <w:lang w:val="en-ZA"/>
        </w:rPr>
      </w:pPr>
    </w:p>
    <w:p w:rsidR="00A26EC1" w:rsidRPr="00A26EC1" w:rsidRDefault="00A26EC1" w:rsidP="00A26EC1">
      <w:pPr>
        <w:spacing w:after="0" w:line="240" w:lineRule="auto"/>
        <w:jc w:val="both"/>
        <w:rPr>
          <w:rFonts w:ascii="Arial" w:eastAsia="Times New Roman" w:hAnsi="Arial" w:cs="Arial"/>
          <w:b/>
          <w:bCs/>
          <w:color w:val="000000"/>
          <w:lang w:val="en-ZA" w:eastAsia="en-ZA"/>
        </w:rPr>
      </w:pPr>
      <w:r w:rsidRPr="00A26EC1">
        <w:rPr>
          <w:rFonts w:ascii="Arial" w:eastAsia="Times New Roman" w:hAnsi="Arial" w:cs="Arial"/>
          <w:b/>
          <w:bCs/>
          <w:color w:val="000000"/>
          <w:lang w:val="en-ZA" w:eastAsia="en-ZA"/>
        </w:rPr>
        <w:t xml:space="preserve">   </w:t>
      </w:r>
    </w:p>
    <w:p w:rsidR="00A26EC1" w:rsidRPr="00A26EC1" w:rsidRDefault="00A26EC1" w:rsidP="00A26EC1">
      <w:pPr>
        <w:spacing w:after="0" w:line="240" w:lineRule="auto"/>
        <w:jc w:val="both"/>
        <w:rPr>
          <w:rFonts w:ascii="Arial" w:eastAsiaTheme="minorHAnsi" w:hAnsi="Arial" w:cs="Arial"/>
          <w:lang w:val="en-ZA"/>
        </w:rPr>
      </w:pPr>
    </w:p>
    <w:p w:rsidR="00934490" w:rsidRPr="008A101D" w:rsidRDefault="00934490" w:rsidP="008A101D">
      <w:pPr>
        <w:rPr>
          <w:rFonts w:ascii="Britannic Bold" w:hAnsi="Britannic Bold"/>
        </w:rPr>
      </w:pPr>
    </w:p>
    <w:sectPr w:rsidR="00934490" w:rsidRPr="008A10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FA1" w:rsidRDefault="00742FA1" w:rsidP="00A649D3">
      <w:pPr>
        <w:spacing w:after="0" w:line="240" w:lineRule="auto"/>
      </w:pPr>
      <w:r>
        <w:separator/>
      </w:r>
    </w:p>
  </w:endnote>
  <w:endnote w:type="continuationSeparator" w:id="0">
    <w:p w:rsidR="00742FA1" w:rsidRDefault="00742FA1" w:rsidP="00A6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FA1" w:rsidRDefault="00742FA1" w:rsidP="00A649D3">
      <w:pPr>
        <w:spacing w:after="0" w:line="240" w:lineRule="auto"/>
      </w:pPr>
      <w:r>
        <w:separator/>
      </w:r>
    </w:p>
  </w:footnote>
  <w:footnote w:type="continuationSeparator" w:id="0">
    <w:p w:rsidR="00742FA1" w:rsidRDefault="00742FA1" w:rsidP="00A64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C5C0A"/>
    <w:multiLevelType w:val="hybridMultilevel"/>
    <w:tmpl w:val="5BB48E6E"/>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7D140E2"/>
    <w:multiLevelType w:val="hybridMultilevel"/>
    <w:tmpl w:val="03788D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24B24"/>
    <w:multiLevelType w:val="multilevel"/>
    <w:tmpl w:val="D092013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2522CD8"/>
    <w:multiLevelType w:val="hybridMultilevel"/>
    <w:tmpl w:val="31724B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3DC56962"/>
    <w:multiLevelType w:val="hybridMultilevel"/>
    <w:tmpl w:val="5BA8C468"/>
    <w:lvl w:ilvl="0" w:tplc="683EA692">
      <w:start w:val="1"/>
      <w:numFmt w:val="bullet"/>
      <w:lvlText w:val=""/>
      <w:lvlJc w:val="left"/>
      <w:pPr>
        <w:ind w:left="720" w:hanging="360"/>
      </w:pPr>
      <w:rPr>
        <w:rFonts w:ascii="Symbol" w:eastAsia="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52A96D5C"/>
    <w:multiLevelType w:val="hybridMultilevel"/>
    <w:tmpl w:val="6B6A645C"/>
    <w:lvl w:ilvl="0" w:tplc="C07CD838">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EB"/>
    <w:rsid w:val="000A6BCE"/>
    <w:rsid w:val="002A746C"/>
    <w:rsid w:val="002C091D"/>
    <w:rsid w:val="002E31F1"/>
    <w:rsid w:val="0037017B"/>
    <w:rsid w:val="003707B4"/>
    <w:rsid w:val="003E35EB"/>
    <w:rsid w:val="0045072E"/>
    <w:rsid w:val="004A5DDF"/>
    <w:rsid w:val="00545880"/>
    <w:rsid w:val="00555DEA"/>
    <w:rsid w:val="00625BA2"/>
    <w:rsid w:val="00626F50"/>
    <w:rsid w:val="0063376C"/>
    <w:rsid w:val="006342EB"/>
    <w:rsid w:val="00657DE5"/>
    <w:rsid w:val="006903B6"/>
    <w:rsid w:val="007054E5"/>
    <w:rsid w:val="007237B9"/>
    <w:rsid w:val="00742FA1"/>
    <w:rsid w:val="007D282F"/>
    <w:rsid w:val="008A101D"/>
    <w:rsid w:val="009029F6"/>
    <w:rsid w:val="00906EB1"/>
    <w:rsid w:val="00934490"/>
    <w:rsid w:val="00964E96"/>
    <w:rsid w:val="009674EB"/>
    <w:rsid w:val="0097700D"/>
    <w:rsid w:val="009E21C0"/>
    <w:rsid w:val="00A14089"/>
    <w:rsid w:val="00A17451"/>
    <w:rsid w:val="00A26EC1"/>
    <w:rsid w:val="00A649D3"/>
    <w:rsid w:val="00AA78EC"/>
    <w:rsid w:val="00AC3D67"/>
    <w:rsid w:val="00AC7DD0"/>
    <w:rsid w:val="00AE511D"/>
    <w:rsid w:val="00B50108"/>
    <w:rsid w:val="00BD3AFF"/>
    <w:rsid w:val="00C459C5"/>
    <w:rsid w:val="00D0051B"/>
    <w:rsid w:val="00D024A8"/>
    <w:rsid w:val="00E3082D"/>
    <w:rsid w:val="00E62ADC"/>
    <w:rsid w:val="00E96635"/>
    <w:rsid w:val="00EB796C"/>
    <w:rsid w:val="00EE3EC3"/>
    <w:rsid w:val="00EE6311"/>
    <w:rsid w:val="00F416D1"/>
    <w:rsid w:val="00F61CDB"/>
    <w:rsid w:val="00FF05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4EEA4-7E34-43AC-8D61-9534488B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4EB"/>
    <w:pPr>
      <w:spacing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4EB"/>
    <w:rPr>
      <w:color w:val="0000FF"/>
      <w:u w:val="single"/>
    </w:rPr>
  </w:style>
  <w:style w:type="paragraph" w:styleId="Header">
    <w:name w:val="header"/>
    <w:basedOn w:val="Normal"/>
    <w:link w:val="HeaderChar"/>
    <w:uiPriority w:val="99"/>
    <w:unhideWhenUsed/>
    <w:rsid w:val="00A64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9D3"/>
    <w:rPr>
      <w:rFonts w:ascii="Calibri" w:eastAsia="Calibri" w:hAnsi="Calibri" w:cs="Times New Roman"/>
      <w:lang w:val="en-US"/>
    </w:rPr>
  </w:style>
  <w:style w:type="paragraph" w:styleId="Footer">
    <w:name w:val="footer"/>
    <w:basedOn w:val="Normal"/>
    <w:link w:val="FooterChar"/>
    <w:uiPriority w:val="99"/>
    <w:unhideWhenUsed/>
    <w:rsid w:val="00A64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9D3"/>
    <w:rPr>
      <w:rFonts w:ascii="Calibri" w:eastAsia="Calibri" w:hAnsi="Calibri" w:cs="Times New Roman"/>
      <w:lang w:val="en-US"/>
    </w:rPr>
  </w:style>
  <w:style w:type="table" w:customStyle="1" w:styleId="TableGrid1">
    <w:name w:val="Table Grid1"/>
    <w:basedOn w:val="TableNormal"/>
    <w:next w:val="TableGrid"/>
    <w:uiPriority w:val="59"/>
    <w:rsid w:val="00545880"/>
    <w:pPr>
      <w:widowControl w:val="0"/>
      <w:autoSpaceDE w:val="0"/>
      <w:autoSpaceDN w:val="0"/>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45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45072E"/>
    <w:pPr>
      <w:spacing w:after="120"/>
    </w:pPr>
  </w:style>
  <w:style w:type="character" w:customStyle="1" w:styleId="BodyTextChar">
    <w:name w:val="Body Text Char"/>
    <w:basedOn w:val="DefaultParagraphFont"/>
    <w:link w:val="BodyText"/>
    <w:uiPriority w:val="99"/>
    <w:rsid w:val="0045072E"/>
    <w:rPr>
      <w:rFonts w:ascii="Calibri" w:eastAsia="Calibri" w:hAnsi="Calibri" w:cs="Times New Roman"/>
      <w:lang w:val="en-US"/>
    </w:rPr>
  </w:style>
  <w:style w:type="paragraph" w:styleId="ListParagraph">
    <w:name w:val="List Paragraph"/>
    <w:basedOn w:val="Normal"/>
    <w:uiPriority w:val="34"/>
    <w:qFormat/>
    <w:rsid w:val="00A26EC1"/>
    <w:pPr>
      <w:ind w:left="720"/>
      <w:contextualSpacing/>
    </w:pPr>
  </w:style>
  <w:style w:type="character" w:styleId="CommentReference">
    <w:name w:val="annotation reference"/>
    <w:basedOn w:val="DefaultParagraphFont"/>
    <w:uiPriority w:val="99"/>
    <w:semiHidden/>
    <w:unhideWhenUsed/>
    <w:rsid w:val="00AA78EC"/>
    <w:rPr>
      <w:sz w:val="16"/>
      <w:szCs w:val="16"/>
    </w:rPr>
  </w:style>
  <w:style w:type="paragraph" w:styleId="CommentText">
    <w:name w:val="annotation text"/>
    <w:basedOn w:val="Normal"/>
    <w:link w:val="CommentTextChar"/>
    <w:uiPriority w:val="99"/>
    <w:semiHidden/>
    <w:unhideWhenUsed/>
    <w:rsid w:val="00AA78EC"/>
    <w:pPr>
      <w:spacing w:line="240" w:lineRule="auto"/>
    </w:pPr>
    <w:rPr>
      <w:sz w:val="20"/>
      <w:szCs w:val="20"/>
    </w:rPr>
  </w:style>
  <w:style w:type="character" w:customStyle="1" w:styleId="CommentTextChar">
    <w:name w:val="Comment Text Char"/>
    <w:basedOn w:val="DefaultParagraphFont"/>
    <w:link w:val="CommentText"/>
    <w:uiPriority w:val="99"/>
    <w:semiHidden/>
    <w:rsid w:val="00AA78EC"/>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A78EC"/>
    <w:rPr>
      <w:b/>
      <w:bCs/>
    </w:rPr>
  </w:style>
  <w:style w:type="character" w:customStyle="1" w:styleId="CommentSubjectChar">
    <w:name w:val="Comment Subject Char"/>
    <w:basedOn w:val="CommentTextChar"/>
    <w:link w:val="CommentSubject"/>
    <w:uiPriority w:val="99"/>
    <w:semiHidden/>
    <w:rsid w:val="00AA78EC"/>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AA7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8EC"/>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7850">
      <w:bodyDiv w:val="1"/>
      <w:marLeft w:val="0"/>
      <w:marRight w:val="0"/>
      <w:marTop w:val="0"/>
      <w:marBottom w:val="0"/>
      <w:divBdr>
        <w:top w:val="none" w:sz="0" w:space="0" w:color="auto"/>
        <w:left w:val="none" w:sz="0" w:space="0" w:color="auto"/>
        <w:bottom w:val="none" w:sz="0" w:space="0" w:color="auto"/>
        <w:right w:val="none" w:sz="0" w:space="0" w:color="auto"/>
      </w:divBdr>
    </w:div>
    <w:div w:id="1370376372">
      <w:bodyDiv w:val="1"/>
      <w:marLeft w:val="0"/>
      <w:marRight w:val="0"/>
      <w:marTop w:val="0"/>
      <w:marBottom w:val="0"/>
      <w:divBdr>
        <w:top w:val="none" w:sz="0" w:space="0" w:color="auto"/>
        <w:left w:val="none" w:sz="0" w:space="0" w:color="auto"/>
        <w:bottom w:val="none" w:sz="0" w:space="0" w:color="auto"/>
        <w:right w:val="none" w:sz="0" w:space="0" w:color="auto"/>
      </w:divBdr>
    </w:div>
    <w:div w:id="1607275247">
      <w:bodyDiv w:val="1"/>
      <w:marLeft w:val="0"/>
      <w:marRight w:val="0"/>
      <w:marTop w:val="0"/>
      <w:marBottom w:val="0"/>
      <w:divBdr>
        <w:top w:val="none" w:sz="0" w:space="0" w:color="auto"/>
        <w:left w:val="none" w:sz="0" w:space="0" w:color="auto"/>
        <w:bottom w:val="none" w:sz="0" w:space="0" w:color="auto"/>
        <w:right w:val="none" w:sz="0" w:space="0" w:color="auto"/>
      </w:divBdr>
    </w:div>
    <w:div w:id="166404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Oupa ledwaba</dc:creator>
  <cp:keywords/>
  <dc:description/>
  <cp:lastModifiedBy>Lydia  Sehlako</cp:lastModifiedBy>
  <cp:revision>2</cp:revision>
  <cp:lastPrinted>2022-04-14T09:40:00Z</cp:lastPrinted>
  <dcterms:created xsi:type="dcterms:W3CDTF">2022-04-14T11:15:00Z</dcterms:created>
  <dcterms:modified xsi:type="dcterms:W3CDTF">2022-04-14T11:15:00Z</dcterms:modified>
</cp:coreProperties>
</file>